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7032E" w14:textId="2B89D00B" w:rsidR="3C344E67" w:rsidRPr="00E204F6" w:rsidRDefault="5AD38508" w:rsidP="5C731B8B">
      <w:pPr>
        <w:jc w:val="center"/>
        <w:rPr>
          <w:rFonts w:ascii="Times New Roman" w:eastAsia="Times New Roman" w:hAnsi="Times New Roman" w:cs="Times New Roman"/>
          <w:b/>
          <w:bCs/>
          <w:sz w:val="72"/>
          <w:szCs w:val="72"/>
        </w:rPr>
      </w:pPr>
      <w:r w:rsidRPr="00E204F6">
        <w:rPr>
          <w:rFonts w:ascii="Times New Roman" w:eastAsia="Times New Roman" w:hAnsi="Times New Roman" w:cs="Times New Roman"/>
          <w:b/>
          <w:bCs/>
          <w:sz w:val="56"/>
          <w:szCs w:val="56"/>
        </w:rPr>
        <w:t xml:space="preserve">Cost effectiveness analysis of </w:t>
      </w:r>
      <w:r w:rsidR="77EA56D4" w:rsidRPr="00E204F6">
        <w:rPr>
          <w:rFonts w:ascii="Times New Roman" w:eastAsia="Times New Roman" w:hAnsi="Times New Roman" w:cs="Times New Roman"/>
          <w:b/>
          <w:bCs/>
          <w:sz w:val="56"/>
          <w:szCs w:val="56"/>
        </w:rPr>
        <w:t>Cabazitaxel</w:t>
      </w:r>
      <w:r w:rsidRPr="00E204F6">
        <w:rPr>
          <w:rFonts w:ascii="Times New Roman" w:eastAsia="Times New Roman" w:hAnsi="Times New Roman" w:cs="Times New Roman"/>
          <w:b/>
          <w:bCs/>
          <w:sz w:val="56"/>
          <w:szCs w:val="56"/>
        </w:rPr>
        <w:t xml:space="preserve"> plus Prednisone versus </w:t>
      </w:r>
      <w:r w:rsidR="2E1C6553" w:rsidRPr="00E204F6">
        <w:rPr>
          <w:rFonts w:ascii="Times New Roman" w:eastAsia="Times New Roman" w:hAnsi="Times New Roman" w:cs="Times New Roman"/>
          <w:b/>
          <w:bCs/>
          <w:sz w:val="56"/>
          <w:szCs w:val="56"/>
        </w:rPr>
        <w:t>Mitoxantrone</w:t>
      </w:r>
      <w:r w:rsidRPr="00E204F6">
        <w:rPr>
          <w:rFonts w:ascii="Times New Roman" w:eastAsia="Times New Roman" w:hAnsi="Times New Roman" w:cs="Times New Roman"/>
          <w:b/>
          <w:bCs/>
          <w:sz w:val="56"/>
          <w:szCs w:val="56"/>
        </w:rPr>
        <w:t xml:space="preserve"> plus Prednisone in metastatic castration-resistant prostate cancer after </w:t>
      </w:r>
      <w:r w:rsidR="7DA05177" w:rsidRPr="00E204F6">
        <w:rPr>
          <w:rFonts w:ascii="Times New Roman" w:eastAsia="Times New Roman" w:hAnsi="Times New Roman" w:cs="Times New Roman"/>
          <w:b/>
          <w:bCs/>
          <w:sz w:val="56"/>
          <w:szCs w:val="56"/>
        </w:rPr>
        <w:t>D</w:t>
      </w:r>
      <w:r w:rsidRPr="00E204F6">
        <w:rPr>
          <w:rFonts w:ascii="Times New Roman" w:eastAsia="Times New Roman" w:hAnsi="Times New Roman" w:cs="Times New Roman"/>
          <w:b/>
          <w:bCs/>
          <w:sz w:val="56"/>
          <w:szCs w:val="56"/>
        </w:rPr>
        <w:t>ocetaxel failure</w:t>
      </w:r>
    </w:p>
    <w:p w14:paraId="1D33EDBC" w14:textId="6FEC3C05" w:rsidR="3C344E67" w:rsidRPr="00E204F6" w:rsidRDefault="3C344E67" w:rsidP="5C731B8B">
      <w:pPr>
        <w:jc w:val="center"/>
        <w:rPr>
          <w:rFonts w:ascii="Times New Roman" w:eastAsia="Times New Roman" w:hAnsi="Times New Roman" w:cs="Times New Roman"/>
          <w:b/>
          <w:bCs/>
          <w:sz w:val="36"/>
          <w:szCs w:val="36"/>
        </w:rPr>
      </w:pPr>
      <w:r w:rsidRPr="00E204F6">
        <w:rPr>
          <w:rFonts w:ascii="Times New Roman" w:eastAsia="Times New Roman" w:hAnsi="Times New Roman" w:cs="Times New Roman"/>
          <w:b/>
          <w:bCs/>
          <w:sz w:val="32"/>
          <w:szCs w:val="32"/>
        </w:rPr>
        <w:t>A UK NHS perspective</w:t>
      </w:r>
    </w:p>
    <w:p w14:paraId="5F25A6FE" w14:textId="2F072EC0" w:rsidR="5C731B8B" w:rsidRPr="00E204F6" w:rsidRDefault="5C731B8B" w:rsidP="5C731B8B">
      <w:pPr>
        <w:jc w:val="center"/>
        <w:rPr>
          <w:rFonts w:ascii="Times New Roman" w:eastAsia="Times New Roman" w:hAnsi="Times New Roman" w:cs="Times New Roman"/>
          <w:b/>
          <w:bCs/>
          <w:sz w:val="24"/>
          <w:szCs w:val="24"/>
        </w:rPr>
      </w:pPr>
    </w:p>
    <w:p w14:paraId="683F3A6F" w14:textId="13C3B2F1" w:rsidR="3C344E67" w:rsidRPr="00E204F6" w:rsidRDefault="3C344E67" w:rsidP="5C731B8B">
      <w:pPr>
        <w:jc w:val="center"/>
        <w:rPr>
          <w:rFonts w:ascii="Times New Roman" w:eastAsia="Times New Roman" w:hAnsi="Times New Roman" w:cs="Times New Roman"/>
          <w:sz w:val="28"/>
          <w:szCs w:val="28"/>
        </w:rPr>
      </w:pPr>
      <w:r w:rsidRPr="00E204F6">
        <w:rPr>
          <w:rFonts w:ascii="Times New Roman" w:eastAsia="Times New Roman" w:hAnsi="Times New Roman" w:cs="Times New Roman"/>
          <w:sz w:val="28"/>
          <w:szCs w:val="28"/>
        </w:rPr>
        <w:t>Advanced health economic modelling</w:t>
      </w:r>
    </w:p>
    <w:p w14:paraId="1A0B9770" w14:textId="48C8D7C7" w:rsidR="3C344E67" w:rsidRPr="00E204F6" w:rsidRDefault="3C344E67" w:rsidP="5C731B8B">
      <w:pPr>
        <w:jc w:val="center"/>
        <w:rPr>
          <w:rFonts w:ascii="Times New Roman" w:eastAsia="Times New Roman" w:hAnsi="Times New Roman" w:cs="Times New Roman"/>
          <w:b/>
          <w:bCs/>
          <w:sz w:val="28"/>
          <w:szCs w:val="28"/>
          <w:lang w:val="nl-NL"/>
        </w:rPr>
      </w:pPr>
      <w:r w:rsidRPr="00E204F6">
        <w:rPr>
          <w:rFonts w:ascii="Times New Roman" w:eastAsia="Times New Roman" w:hAnsi="Times New Roman" w:cs="Times New Roman"/>
          <w:b/>
          <w:bCs/>
          <w:sz w:val="28"/>
          <w:szCs w:val="28"/>
          <w:lang w:val="nl-NL"/>
        </w:rPr>
        <w:t/>
      </w:r>
    </w:p>
    <w:p w14:paraId="30EEFA66" w14:textId="4B0A1323" w:rsidR="5C731B8B" w:rsidRPr="00E204F6" w:rsidRDefault="5C731B8B" w:rsidP="5C731B8B">
      <w:pPr>
        <w:jc w:val="center"/>
        <w:rPr>
          <w:rFonts w:ascii="Times New Roman" w:eastAsia="Times New Roman" w:hAnsi="Times New Roman" w:cs="Times New Roman"/>
          <w:b/>
          <w:bCs/>
          <w:sz w:val="24"/>
          <w:szCs w:val="24"/>
          <w:lang w:val="nl-NL"/>
        </w:rPr>
      </w:pPr>
    </w:p>
    <w:p w14:paraId="6F2F65A9" w14:textId="65EEAA6B" w:rsidR="3C344E67" w:rsidRPr="00E204F6" w:rsidRDefault="5AD38508" w:rsidP="5C731B8B">
      <w:pPr>
        <w:jc w:val="center"/>
        <w:rPr>
          <w:rFonts w:ascii="Times New Roman" w:eastAsia="Times New Roman" w:hAnsi="Times New Roman" w:cs="Times New Roman"/>
          <w:sz w:val="28"/>
          <w:szCs w:val="28"/>
          <w:lang w:val="nl-NL"/>
        </w:rPr>
      </w:pPr>
      <w:r w:rsidRPr="00E204F6">
        <w:rPr>
          <w:rFonts w:ascii="Times New Roman" w:eastAsia="Times New Roman" w:hAnsi="Times New Roman" w:cs="Times New Roman"/>
          <w:sz w:val="28"/>
          <w:szCs w:val="28"/>
          <w:lang w:val="nl-NL"/>
        </w:rPr>
        <w:t>Aida van Riel</w:t>
      </w:r>
      <w:r w:rsidR="4D49B3DB" w:rsidRPr="00E204F6">
        <w:rPr>
          <w:rFonts w:ascii="Times New Roman" w:eastAsia="Times New Roman" w:hAnsi="Times New Roman" w:cs="Times New Roman"/>
          <w:sz w:val="28"/>
          <w:szCs w:val="28"/>
          <w:lang w:val="nl-NL"/>
        </w:rPr>
        <w:t/>
      </w:r>
    </w:p>
    <w:p w14:paraId="4C87A7F7" w14:textId="48C43279" w:rsidR="3C344E67" w:rsidRPr="00E204F6" w:rsidRDefault="5AD38508" w:rsidP="5C731B8B">
      <w:pPr>
        <w:jc w:val="center"/>
        <w:rPr>
          <w:rFonts w:ascii="Times New Roman" w:eastAsia="Times New Roman" w:hAnsi="Times New Roman" w:cs="Times New Roman"/>
          <w:sz w:val="28"/>
          <w:szCs w:val="28"/>
          <w:lang w:val="nl-NL"/>
        </w:rPr>
      </w:pPr>
      <w:r w:rsidRPr="00E204F6">
        <w:rPr>
          <w:rFonts w:ascii="Times New Roman" w:eastAsia="Times New Roman" w:hAnsi="Times New Roman" w:cs="Times New Roman"/>
          <w:sz w:val="28"/>
          <w:szCs w:val="28"/>
          <w:lang w:val="nl-NL"/>
        </w:rPr>
        <w:t>Anna</w:t>
      </w:r>
      <w:r w:rsidR="6E548439" w:rsidRPr="00E204F6">
        <w:rPr>
          <w:rFonts w:ascii="Times New Roman" w:eastAsia="Times New Roman" w:hAnsi="Times New Roman" w:cs="Times New Roman"/>
          <w:sz w:val="28"/>
          <w:szCs w:val="28"/>
          <w:lang w:val="nl-NL"/>
        </w:rPr>
        <w:t/>
      </w:r>
    </w:p>
    <w:p w14:paraId="346AADC5" w14:textId="689B0B03" w:rsidR="3C344E67" w:rsidRPr="00E204F6" w:rsidRDefault="5AD38508" w:rsidP="5C731B8B">
      <w:pPr>
        <w:jc w:val="center"/>
        <w:rPr>
          <w:rFonts w:ascii="Times New Roman" w:eastAsia="Times New Roman" w:hAnsi="Times New Roman" w:cs="Times New Roman"/>
          <w:sz w:val="28"/>
          <w:szCs w:val="28"/>
          <w:lang w:val="nl-NL"/>
        </w:rPr>
      </w:pPr>
      <w:r w:rsidRPr="00E204F6">
        <w:rPr>
          <w:rFonts w:ascii="Times New Roman" w:eastAsia="Times New Roman" w:hAnsi="Times New Roman" w:cs="Times New Roman"/>
          <w:sz w:val="28"/>
          <w:szCs w:val="28"/>
          <w:lang w:val="nl-NL"/>
        </w:rPr>
        <w:t>Irma</w:t>
      </w:r>
      <w:r w:rsidR="7FDFAEC0" w:rsidRPr="00E204F6">
        <w:rPr>
          <w:rFonts w:ascii="Times New Roman" w:eastAsia="Times New Roman" w:hAnsi="Times New Roman" w:cs="Times New Roman"/>
          <w:sz w:val="28"/>
          <w:szCs w:val="28"/>
          <w:lang w:val="nl-NL"/>
        </w:rPr>
        <w:t/>
      </w:r>
    </w:p>
    <w:p w14:paraId="16CED7AF" w14:textId="246DAE9D" w:rsidR="3C344E67" w:rsidRPr="00E204F6" w:rsidRDefault="5AD38508" w:rsidP="5C731B8B">
      <w:pPr>
        <w:jc w:val="center"/>
        <w:rPr>
          <w:rFonts w:ascii="Times New Roman" w:eastAsia="Times New Roman" w:hAnsi="Times New Roman" w:cs="Times New Roman"/>
          <w:sz w:val="28"/>
          <w:szCs w:val="28"/>
        </w:rPr>
      </w:pPr>
      <w:r w:rsidRPr="00E204F6">
        <w:rPr>
          <w:rFonts w:ascii="Times New Roman" w:eastAsia="Times New Roman" w:hAnsi="Times New Roman" w:cs="Times New Roman"/>
          <w:sz w:val="28"/>
          <w:szCs w:val="28"/>
        </w:rPr>
        <w:t>Sanya</w:t>
      </w:r>
      <w:r w:rsidR="00B9C72A" w:rsidRPr="00E204F6">
        <w:rPr>
          <w:rFonts w:ascii="Times New Roman" w:eastAsia="Times New Roman" w:hAnsi="Times New Roman" w:cs="Times New Roman"/>
          <w:sz w:val="28"/>
          <w:szCs w:val="28"/>
        </w:rPr>
        <w:t/>
      </w:r>
    </w:p>
    <w:p w14:paraId="5A5EF9FD" w14:textId="5D303B55" w:rsidR="5C731B8B" w:rsidRPr="00E204F6" w:rsidRDefault="5C731B8B" w:rsidP="5C731B8B">
      <w:pPr>
        <w:jc w:val="center"/>
        <w:rPr>
          <w:rFonts w:ascii="Times New Roman" w:eastAsia="Times New Roman" w:hAnsi="Times New Roman" w:cs="Times New Roman"/>
          <w:b/>
          <w:bCs/>
          <w:sz w:val="24"/>
          <w:szCs w:val="24"/>
        </w:rPr>
      </w:pPr>
    </w:p>
    <w:p w14:paraId="59AB4C67" w14:textId="4398BCD5" w:rsidR="3C344E67" w:rsidRPr="00E204F6" w:rsidRDefault="3C344E67" w:rsidP="5C731B8B">
      <w:pPr>
        <w:jc w:val="center"/>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March 2024</w:t>
      </w:r>
    </w:p>
    <w:p w14:paraId="34422140" w14:textId="7B11ED47" w:rsidR="5C731B8B" w:rsidRPr="00E204F6" w:rsidRDefault="5C731B8B" w:rsidP="5C731B8B">
      <w:pPr>
        <w:jc w:val="center"/>
        <w:rPr>
          <w:rFonts w:ascii="Times New Roman" w:eastAsia="Times New Roman" w:hAnsi="Times New Roman" w:cs="Times New Roman"/>
          <w:b/>
          <w:bCs/>
          <w:sz w:val="24"/>
          <w:szCs w:val="24"/>
        </w:rPr>
      </w:pPr>
    </w:p>
    <w:p w14:paraId="2BDCF109" w14:textId="2EC9BBA1" w:rsidR="5C731B8B" w:rsidRPr="00E204F6" w:rsidRDefault="3A40935A" w:rsidP="76C0B922">
      <w:pPr>
        <w:jc w:val="center"/>
        <w:rPr>
          <w:rFonts w:ascii="Times New Roman" w:eastAsia="Times New Roman" w:hAnsi="Times New Roman" w:cs="Times New Roman"/>
          <w:sz w:val="24"/>
          <w:szCs w:val="24"/>
        </w:rPr>
      </w:pPr>
      <w:r w:rsidRPr="30076135">
        <w:rPr>
          <w:rFonts w:ascii="Times New Roman" w:eastAsia="Times New Roman" w:hAnsi="Times New Roman" w:cs="Times New Roman"/>
          <w:sz w:val="24"/>
          <w:szCs w:val="24"/>
        </w:rPr>
        <w:t>A</w:t>
      </w:r>
      <w:r w:rsidR="650CE7D6" w:rsidRPr="30076135">
        <w:rPr>
          <w:rFonts w:ascii="Times New Roman" w:eastAsia="Times New Roman" w:hAnsi="Times New Roman" w:cs="Times New Roman"/>
          <w:sz w:val="24"/>
          <w:szCs w:val="24"/>
        </w:rPr>
        <w:t>I</w:t>
      </w:r>
      <w:r w:rsidRPr="30076135">
        <w:rPr>
          <w:rFonts w:ascii="Times New Roman" w:eastAsia="Times New Roman" w:hAnsi="Times New Roman" w:cs="Times New Roman"/>
          <w:sz w:val="24"/>
          <w:szCs w:val="24"/>
        </w:rPr>
        <w:t xml:space="preserve"> statement: </w:t>
      </w:r>
      <w:r w:rsidR="4D8A5968" w:rsidRPr="30076135">
        <w:rPr>
          <w:rFonts w:ascii="Times New Roman" w:eastAsia="Times New Roman" w:hAnsi="Times New Roman" w:cs="Times New Roman"/>
          <w:sz w:val="24"/>
          <w:szCs w:val="24"/>
        </w:rPr>
        <w:t>W</w:t>
      </w:r>
      <w:r w:rsidR="61B8BA46" w:rsidRPr="30076135">
        <w:rPr>
          <w:rFonts w:ascii="Times New Roman" w:eastAsia="Times New Roman" w:hAnsi="Times New Roman" w:cs="Times New Roman"/>
          <w:sz w:val="24"/>
          <w:szCs w:val="24"/>
        </w:rPr>
        <w:t xml:space="preserve">e used AI </w:t>
      </w:r>
      <w:r w:rsidR="0C64E9A8" w:rsidRPr="30076135">
        <w:rPr>
          <w:rFonts w:ascii="Times New Roman" w:eastAsia="Times New Roman" w:hAnsi="Times New Roman" w:cs="Times New Roman"/>
          <w:sz w:val="24"/>
          <w:szCs w:val="24"/>
        </w:rPr>
        <w:t xml:space="preserve">to </w:t>
      </w:r>
      <w:r w:rsidR="3BFDBFA3" w:rsidRPr="30076135">
        <w:rPr>
          <w:rFonts w:ascii="Times New Roman" w:eastAsia="Times New Roman" w:hAnsi="Times New Roman" w:cs="Times New Roman"/>
          <w:sz w:val="24"/>
          <w:szCs w:val="24"/>
        </w:rPr>
        <w:t>solve the technical issue we had with running the PSA</w:t>
      </w:r>
      <w:r w:rsidR="6B79A740" w:rsidRPr="30076135">
        <w:rPr>
          <w:rFonts w:ascii="Times New Roman" w:eastAsia="Times New Roman" w:hAnsi="Times New Roman" w:cs="Times New Roman"/>
          <w:sz w:val="24"/>
          <w:szCs w:val="24"/>
        </w:rPr>
        <w:t>. We also used it to support spelling correction</w:t>
      </w:r>
      <w:r w:rsidR="433F0250" w:rsidRPr="30076135">
        <w:rPr>
          <w:rFonts w:ascii="Times New Roman" w:eastAsia="Times New Roman" w:hAnsi="Times New Roman" w:cs="Times New Roman"/>
          <w:sz w:val="24"/>
          <w:szCs w:val="24"/>
        </w:rPr>
        <w:t xml:space="preserve"> </w:t>
      </w:r>
      <w:r w:rsidR="6B79A740" w:rsidRPr="30076135">
        <w:rPr>
          <w:rFonts w:ascii="Times New Roman" w:eastAsia="Times New Roman" w:hAnsi="Times New Roman" w:cs="Times New Roman"/>
          <w:sz w:val="24"/>
          <w:szCs w:val="24"/>
        </w:rPr>
        <w:t>of the written text.</w:t>
      </w:r>
    </w:p>
    <w:p w14:paraId="700E30EB" w14:textId="0F40985F" w:rsidR="76C0B922" w:rsidRPr="00E204F6" w:rsidRDefault="76C0B922" w:rsidP="76C0B922">
      <w:pPr>
        <w:jc w:val="center"/>
        <w:rPr>
          <w:rFonts w:ascii="Times New Roman" w:eastAsia="Times New Roman" w:hAnsi="Times New Roman" w:cs="Times New Roman"/>
          <w:sz w:val="24"/>
          <w:szCs w:val="24"/>
        </w:rPr>
      </w:pPr>
    </w:p>
    <w:p w14:paraId="2B220405" w14:textId="21380237" w:rsidR="76C0B922" w:rsidRPr="00E204F6" w:rsidRDefault="76C0B922" w:rsidP="76C0B922">
      <w:pPr>
        <w:rPr>
          <w:rFonts w:ascii="Times New Roman" w:eastAsia="Times New Roman" w:hAnsi="Times New Roman" w:cs="Times New Roman"/>
          <w:b/>
          <w:bCs/>
          <w:color w:val="FF0000"/>
          <w:sz w:val="24"/>
          <w:szCs w:val="24"/>
        </w:rPr>
      </w:pPr>
    </w:p>
    <w:p w14:paraId="7CDBD26F" w14:textId="2205D0A8" w:rsidR="76C0B922" w:rsidRPr="00E204F6" w:rsidRDefault="76C0B922" w:rsidP="76C0B922">
      <w:pPr>
        <w:rPr>
          <w:rFonts w:ascii="Times New Roman" w:eastAsia="Times New Roman" w:hAnsi="Times New Roman" w:cs="Times New Roman"/>
          <w:b/>
          <w:bCs/>
          <w:color w:val="FF0000"/>
          <w:sz w:val="24"/>
          <w:szCs w:val="24"/>
        </w:rPr>
      </w:pPr>
    </w:p>
    <w:p w14:paraId="7514D60E" w14:textId="4EA1106B" w:rsidR="76C0B922" w:rsidRPr="00E204F6" w:rsidRDefault="76C0B922" w:rsidP="76C0B922">
      <w:pPr>
        <w:rPr>
          <w:rFonts w:ascii="Times New Roman" w:eastAsia="Times New Roman" w:hAnsi="Times New Roman" w:cs="Times New Roman"/>
          <w:b/>
          <w:bCs/>
          <w:color w:val="FF0000"/>
          <w:sz w:val="24"/>
          <w:szCs w:val="24"/>
        </w:rPr>
      </w:pPr>
    </w:p>
    <w:p w14:paraId="537F0AEB" w14:textId="1AC0680A" w:rsidR="76C0B922" w:rsidRPr="00E204F6" w:rsidRDefault="76C0B922" w:rsidP="76C0B922">
      <w:pPr>
        <w:rPr>
          <w:rFonts w:ascii="Times New Roman" w:eastAsia="Times New Roman" w:hAnsi="Times New Roman" w:cs="Times New Roman"/>
          <w:b/>
          <w:bCs/>
          <w:color w:val="FF0000"/>
          <w:sz w:val="24"/>
          <w:szCs w:val="24"/>
        </w:rPr>
      </w:pPr>
    </w:p>
    <w:p w14:paraId="17B05BC6" w14:textId="1860BAB3" w:rsidR="670035D9" w:rsidRPr="00E204F6" w:rsidRDefault="670035D9" w:rsidP="30076135">
      <w:pPr>
        <w:rPr>
          <w:rFonts w:ascii="Times New Roman" w:eastAsia="Times New Roman" w:hAnsi="Times New Roman" w:cs="Times New Roman"/>
          <w:i/>
          <w:iCs/>
          <w:sz w:val="24"/>
          <w:szCs w:val="24"/>
        </w:rPr>
      </w:pPr>
      <w:r w:rsidRPr="30076135">
        <w:rPr>
          <w:rFonts w:ascii="Times New Roman" w:eastAsia="Times New Roman" w:hAnsi="Times New Roman" w:cs="Times New Roman"/>
          <w:i/>
          <w:iCs/>
          <w:sz w:val="24"/>
          <w:szCs w:val="24"/>
        </w:rPr>
        <w:t xml:space="preserve">Word count: </w:t>
      </w:r>
      <w:r w:rsidR="00C91C3A">
        <w:rPr>
          <w:rFonts w:ascii="Times New Roman" w:eastAsia="Times New Roman" w:hAnsi="Times New Roman" w:cs="Times New Roman"/>
          <w:i/>
          <w:iCs/>
          <w:sz w:val="24"/>
          <w:szCs w:val="24"/>
        </w:rPr>
        <w:t>9,709</w:t>
      </w:r>
      <w:r w:rsidR="007E6B32">
        <w:rPr>
          <w:rFonts w:ascii="Times New Roman" w:eastAsia="Times New Roman" w:hAnsi="Times New Roman" w:cs="Times New Roman"/>
          <w:i/>
          <w:iCs/>
          <w:sz w:val="24"/>
          <w:szCs w:val="24"/>
        </w:rPr>
        <w:t xml:space="preserve"> (appendix, reference and tables excluded)</w:t>
      </w:r>
    </w:p>
    <w:p w14:paraId="1C84AF85" w14:textId="61310CAC" w:rsidR="5D0D4B0C" w:rsidRPr="00E204F6" w:rsidRDefault="247683E1" w:rsidP="76C0B922">
      <w:pPr>
        <w:pStyle w:val="Heading1"/>
        <w:rPr>
          <w:rFonts w:ascii="Times New Roman" w:eastAsia="Times New Roman" w:hAnsi="Times New Roman" w:cs="Times New Roman"/>
          <w:color w:val="auto"/>
          <w:sz w:val="28"/>
          <w:szCs w:val="28"/>
        </w:rPr>
      </w:pPr>
      <w:bookmarkStart w:id="0" w:name="_Toc2005540117"/>
      <w:r w:rsidRPr="30076135">
        <w:rPr>
          <w:rFonts w:ascii="Times New Roman" w:eastAsia="Times New Roman" w:hAnsi="Times New Roman" w:cs="Times New Roman"/>
          <w:color w:val="auto"/>
          <w:sz w:val="28"/>
          <w:szCs w:val="28"/>
        </w:rPr>
        <w:lastRenderedPageBreak/>
        <w:t>INDEX</w:t>
      </w:r>
      <w:bookmarkEnd w:id="0"/>
    </w:p>
    <w:sdt>
      <w:sdtPr>
        <w:id w:val="1935602492"/>
        <w:docPartObj>
          <w:docPartGallery w:val="Table of Contents"/>
          <w:docPartUnique/>
        </w:docPartObj>
      </w:sdtPr>
      <w:sdtEndPr/>
      <w:sdtContent>
        <w:p w14:paraId="3826C957" w14:textId="5ED31314" w:rsidR="001968E1" w:rsidRDefault="001968E1" w:rsidP="30076135">
          <w:pPr>
            <w:pStyle w:val="TOC1"/>
            <w:tabs>
              <w:tab w:val="right" w:leader="dot" w:pos="9060"/>
            </w:tabs>
            <w:rPr>
              <w:rStyle w:val="Hyperlink"/>
              <w:noProof/>
              <w:kern w:val="2"/>
              <w:lang w:val="nl-NL" w:eastAsia="nl-NL"/>
            </w:rPr>
          </w:pPr>
          <w:r>
            <w:fldChar w:fldCharType="begin"/>
          </w:r>
          <w:r w:rsidR="76C0B922">
            <w:instrText>TOC \o "1-9" \z \u \h</w:instrText>
          </w:r>
          <w:r>
            <w:fldChar w:fldCharType="separate"/>
          </w:r>
          <w:hyperlink w:anchor="_Toc2005540117">
            <w:r w:rsidR="30076135" w:rsidRPr="30076135">
              <w:rPr>
                <w:rStyle w:val="Hyperlink"/>
                <w:noProof/>
              </w:rPr>
              <w:t>INDEX</w:t>
            </w:r>
            <w:r w:rsidR="76C0B922">
              <w:rPr>
                <w:noProof/>
              </w:rPr>
              <w:tab/>
            </w:r>
            <w:r w:rsidR="76C0B922">
              <w:rPr>
                <w:noProof/>
              </w:rPr>
              <w:fldChar w:fldCharType="begin"/>
            </w:r>
            <w:r w:rsidR="76C0B922">
              <w:rPr>
                <w:noProof/>
              </w:rPr>
              <w:instrText>PAGEREF _Toc2005540117 \h</w:instrText>
            </w:r>
            <w:r w:rsidR="76C0B922">
              <w:rPr>
                <w:noProof/>
              </w:rPr>
            </w:r>
            <w:r w:rsidR="76C0B922">
              <w:rPr>
                <w:noProof/>
              </w:rPr>
              <w:fldChar w:fldCharType="separate"/>
            </w:r>
            <w:r w:rsidR="00B9615C">
              <w:rPr>
                <w:noProof/>
              </w:rPr>
              <w:t>2</w:t>
            </w:r>
            <w:r w:rsidR="76C0B922">
              <w:rPr>
                <w:noProof/>
              </w:rPr>
              <w:fldChar w:fldCharType="end"/>
            </w:r>
          </w:hyperlink>
        </w:p>
        <w:p w14:paraId="4306EA51" w14:textId="4AB65503" w:rsidR="001968E1" w:rsidRDefault="30076135" w:rsidP="30076135">
          <w:pPr>
            <w:pStyle w:val="TOC1"/>
            <w:tabs>
              <w:tab w:val="right" w:leader="dot" w:pos="9060"/>
            </w:tabs>
            <w:rPr>
              <w:rStyle w:val="Hyperlink"/>
              <w:noProof/>
              <w:kern w:val="2"/>
              <w:lang w:val="nl-NL" w:eastAsia="nl-NL"/>
            </w:rPr>
          </w:pPr>
          <w:hyperlink w:anchor="_Toc1626333393">
            <w:r w:rsidRPr="30076135">
              <w:rPr>
                <w:rStyle w:val="Hyperlink"/>
                <w:noProof/>
              </w:rPr>
              <w:t>METHODS</w:t>
            </w:r>
            <w:r w:rsidR="001968E1">
              <w:rPr>
                <w:noProof/>
              </w:rPr>
              <w:tab/>
            </w:r>
            <w:r w:rsidR="001968E1">
              <w:rPr>
                <w:noProof/>
              </w:rPr>
              <w:fldChar w:fldCharType="begin"/>
            </w:r>
            <w:r w:rsidR="001968E1">
              <w:rPr>
                <w:noProof/>
              </w:rPr>
              <w:instrText>PAGEREF _Toc1626333393 \h</w:instrText>
            </w:r>
            <w:r w:rsidR="001968E1">
              <w:rPr>
                <w:noProof/>
              </w:rPr>
            </w:r>
            <w:r w:rsidR="001968E1">
              <w:rPr>
                <w:noProof/>
              </w:rPr>
              <w:fldChar w:fldCharType="separate"/>
            </w:r>
            <w:r w:rsidR="00B9615C">
              <w:rPr>
                <w:noProof/>
              </w:rPr>
              <w:t>5</w:t>
            </w:r>
            <w:r w:rsidR="001968E1">
              <w:rPr>
                <w:noProof/>
              </w:rPr>
              <w:fldChar w:fldCharType="end"/>
            </w:r>
          </w:hyperlink>
        </w:p>
        <w:p w14:paraId="7B580BD9" w14:textId="001B6C05" w:rsidR="001968E1" w:rsidRDefault="30076135" w:rsidP="30076135">
          <w:pPr>
            <w:pStyle w:val="TOC2"/>
            <w:tabs>
              <w:tab w:val="right" w:leader="dot" w:pos="9060"/>
            </w:tabs>
            <w:rPr>
              <w:rStyle w:val="Hyperlink"/>
              <w:noProof/>
              <w:kern w:val="2"/>
              <w:lang w:val="nl-NL" w:eastAsia="nl-NL"/>
            </w:rPr>
          </w:pPr>
          <w:hyperlink w:anchor="_Toc1116797809">
            <w:r w:rsidRPr="30076135">
              <w:rPr>
                <w:rStyle w:val="Hyperlink"/>
                <w:noProof/>
              </w:rPr>
              <w:t>FRAMING</w:t>
            </w:r>
            <w:r w:rsidR="001968E1">
              <w:rPr>
                <w:noProof/>
              </w:rPr>
              <w:tab/>
            </w:r>
            <w:r w:rsidR="001968E1">
              <w:rPr>
                <w:noProof/>
              </w:rPr>
              <w:fldChar w:fldCharType="begin"/>
            </w:r>
            <w:r w:rsidR="001968E1">
              <w:rPr>
                <w:noProof/>
              </w:rPr>
              <w:instrText>PAGEREF _Toc1116797809 \h</w:instrText>
            </w:r>
            <w:r w:rsidR="001968E1">
              <w:rPr>
                <w:noProof/>
              </w:rPr>
            </w:r>
            <w:r w:rsidR="001968E1">
              <w:rPr>
                <w:noProof/>
              </w:rPr>
              <w:fldChar w:fldCharType="separate"/>
            </w:r>
            <w:r w:rsidR="00B9615C">
              <w:rPr>
                <w:noProof/>
              </w:rPr>
              <w:t>5</w:t>
            </w:r>
            <w:r w:rsidR="001968E1">
              <w:rPr>
                <w:noProof/>
              </w:rPr>
              <w:fldChar w:fldCharType="end"/>
            </w:r>
          </w:hyperlink>
        </w:p>
        <w:p w14:paraId="7BCB8FA5" w14:textId="596574F2" w:rsidR="001968E1" w:rsidRDefault="30076135" w:rsidP="30076135">
          <w:pPr>
            <w:pStyle w:val="TOC2"/>
            <w:tabs>
              <w:tab w:val="right" w:leader="dot" w:pos="9060"/>
            </w:tabs>
            <w:rPr>
              <w:rStyle w:val="Hyperlink"/>
              <w:noProof/>
              <w:kern w:val="2"/>
              <w:lang w:val="nl-NL" w:eastAsia="nl-NL"/>
            </w:rPr>
          </w:pPr>
          <w:hyperlink w:anchor="_Toc344080014">
            <w:r w:rsidRPr="30076135">
              <w:rPr>
                <w:rStyle w:val="Hyperlink"/>
                <w:noProof/>
              </w:rPr>
              <w:t>THE TREATMENT EFFECT</w:t>
            </w:r>
            <w:r w:rsidR="001968E1">
              <w:rPr>
                <w:noProof/>
              </w:rPr>
              <w:tab/>
            </w:r>
            <w:r w:rsidR="001968E1">
              <w:rPr>
                <w:noProof/>
              </w:rPr>
              <w:fldChar w:fldCharType="begin"/>
            </w:r>
            <w:r w:rsidR="001968E1">
              <w:rPr>
                <w:noProof/>
              </w:rPr>
              <w:instrText>PAGEREF _Toc344080014 \h</w:instrText>
            </w:r>
            <w:r w:rsidR="001968E1">
              <w:rPr>
                <w:noProof/>
              </w:rPr>
            </w:r>
            <w:r w:rsidR="001968E1">
              <w:rPr>
                <w:noProof/>
              </w:rPr>
              <w:fldChar w:fldCharType="separate"/>
            </w:r>
            <w:r w:rsidR="00B9615C">
              <w:rPr>
                <w:noProof/>
              </w:rPr>
              <w:t>8</w:t>
            </w:r>
            <w:r w:rsidR="001968E1">
              <w:rPr>
                <w:noProof/>
              </w:rPr>
              <w:fldChar w:fldCharType="end"/>
            </w:r>
          </w:hyperlink>
        </w:p>
        <w:p w14:paraId="4B52AB0C" w14:textId="37005CBE" w:rsidR="001968E1" w:rsidRDefault="30076135" w:rsidP="30076135">
          <w:pPr>
            <w:pStyle w:val="TOC2"/>
            <w:tabs>
              <w:tab w:val="right" w:leader="dot" w:pos="9060"/>
            </w:tabs>
            <w:rPr>
              <w:rStyle w:val="Hyperlink"/>
              <w:noProof/>
              <w:kern w:val="2"/>
              <w:lang w:val="nl-NL" w:eastAsia="nl-NL"/>
            </w:rPr>
          </w:pPr>
          <w:hyperlink w:anchor="_Toc52770009">
            <w:r w:rsidRPr="30076135">
              <w:rPr>
                <w:rStyle w:val="Hyperlink"/>
                <w:noProof/>
              </w:rPr>
              <w:t>RESOURCES USE AND COSTS</w:t>
            </w:r>
            <w:r w:rsidR="001968E1">
              <w:rPr>
                <w:noProof/>
              </w:rPr>
              <w:tab/>
            </w:r>
            <w:r w:rsidR="001968E1">
              <w:rPr>
                <w:noProof/>
              </w:rPr>
              <w:fldChar w:fldCharType="begin"/>
            </w:r>
            <w:r w:rsidR="001968E1">
              <w:rPr>
                <w:noProof/>
              </w:rPr>
              <w:instrText>PAGEREF _Toc52770009 \h</w:instrText>
            </w:r>
            <w:r w:rsidR="001968E1">
              <w:rPr>
                <w:noProof/>
              </w:rPr>
            </w:r>
            <w:r w:rsidR="001968E1">
              <w:rPr>
                <w:noProof/>
              </w:rPr>
              <w:fldChar w:fldCharType="separate"/>
            </w:r>
            <w:r w:rsidR="00B9615C">
              <w:rPr>
                <w:noProof/>
              </w:rPr>
              <w:t>15</w:t>
            </w:r>
            <w:r w:rsidR="001968E1">
              <w:rPr>
                <w:noProof/>
              </w:rPr>
              <w:fldChar w:fldCharType="end"/>
            </w:r>
          </w:hyperlink>
        </w:p>
        <w:p w14:paraId="3D78B9CF" w14:textId="50347628" w:rsidR="001968E1" w:rsidRDefault="30076135" w:rsidP="30076135">
          <w:pPr>
            <w:pStyle w:val="TOC2"/>
            <w:tabs>
              <w:tab w:val="right" w:leader="dot" w:pos="9060"/>
            </w:tabs>
            <w:rPr>
              <w:rStyle w:val="Hyperlink"/>
              <w:noProof/>
              <w:kern w:val="2"/>
              <w:lang w:val="nl-NL" w:eastAsia="nl-NL"/>
            </w:rPr>
          </w:pPr>
          <w:hyperlink w:anchor="_Toc533533157">
            <w:r w:rsidRPr="30076135">
              <w:rPr>
                <w:rStyle w:val="Hyperlink"/>
                <w:noProof/>
              </w:rPr>
              <w:t>SENSITIVITY ANALYSIS</w:t>
            </w:r>
            <w:r w:rsidR="001968E1">
              <w:rPr>
                <w:noProof/>
              </w:rPr>
              <w:tab/>
            </w:r>
            <w:r w:rsidR="001968E1">
              <w:rPr>
                <w:noProof/>
              </w:rPr>
              <w:fldChar w:fldCharType="begin"/>
            </w:r>
            <w:r w:rsidR="001968E1">
              <w:rPr>
                <w:noProof/>
              </w:rPr>
              <w:instrText>PAGEREF _Toc533533157 \h</w:instrText>
            </w:r>
            <w:r w:rsidR="001968E1">
              <w:rPr>
                <w:noProof/>
              </w:rPr>
            </w:r>
            <w:r w:rsidR="001968E1">
              <w:rPr>
                <w:noProof/>
              </w:rPr>
              <w:fldChar w:fldCharType="separate"/>
            </w:r>
            <w:r w:rsidR="00B9615C">
              <w:rPr>
                <w:noProof/>
              </w:rPr>
              <w:t>27</w:t>
            </w:r>
            <w:r w:rsidR="001968E1">
              <w:rPr>
                <w:noProof/>
              </w:rPr>
              <w:fldChar w:fldCharType="end"/>
            </w:r>
          </w:hyperlink>
        </w:p>
        <w:p w14:paraId="5B7D1ADB" w14:textId="676946D4" w:rsidR="001968E1" w:rsidRDefault="30076135" w:rsidP="30076135">
          <w:pPr>
            <w:pStyle w:val="TOC1"/>
            <w:tabs>
              <w:tab w:val="right" w:leader="dot" w:pos="9060"/>
            </w:tabs>
            <w:rPr>
              <w:rStyle w:val="Hyperlink"/>
              <w:noProof/>
              <w:kern w:val="2"/>
              <w:lang w:val="nl-NL" w:eastAsia="nl-NL"/>
            </w:rPr>
          </w:pPr>
          <w:hyperlink w:anchor="_Toc1537210556">
            <w:r w:rsidRPr="30076135">
              <w:rPr>
                <w:rStyle w:val="Hyperlink"/>
                <w:noProof/>
              </w:rPr>
              <w:t>RESULTS</w:t>
            </w:r>
            <w:r w:rsidR="001968E1">
              <w:rPr>
                <w:noProof/>
              </w:rPr>
              <w:tab/>
            </w:r>
            <w:r w:rsidR="001968E1">
              <w:rPr>
                <w:noProof/>
              </w:rPr>
              <w:fldChar w:fldCharType="begin"/>
            </w:r>
            <w:r w:rsidR="001968E1">
              <w:rPr>
                <w:noProof/>
              </w:rPr>
              <w:instrText>PAGEREF _Toc1537210556 \h</w:instrText>
            </w:r>
            <w:r w:rsidR="001968E1">
              <w:rPr>
                <w:noProof/>
              </w:rPr>
            </w:r>
            <w:r w:rsidR="001968E1">
              <w:rPr>
                <w:noProof/>
              </w:rPr>
              <w:fldChar w:fldCharType="separate"/>
            </w:r>
            <w:r w:rsidR="00B9615C">
              <w:rPr>
                <w:noProof/>
              </w:rPr>
              <w:t>30</w:t>
            </w:r>
            <w:r w:rsidR="001968E1">
              <w:rPr>
                <w:noProof/>
              </w:rPr>
              <w:fldChar w:fldCharType="end"/>
            </w:r>
          </w:hyperlink>
        </w:p>
        <w:p w14:paraId="697C2989" w14:textId="1C01E4FD" w:rsidR="001968E1" w:rsidRDefault="30076135" w:rsidP="30076135">
          <w:pPr>
            <w:pStyle w:val="TOC2"/>
            <w:tabs>
              <w:tab w:val="right" w:leader="dot" w:pos="9060"/>
            </w:tabs>
            <w:rPr>
              <w:rStyle w:val="Hyperlink"/>
              <w:noProof/>
              <w:kern w:val="2"/>
              <w:lang w:val="nl-NL" w:eastAsia="nl-NL"/>
            </w:rPr>
          </w:pPr>
          <w:hyperlink w:anchor="_Toc1642436606">
            <w:r w:rsidRPr="30076135">
              <w:rPr>
                <w:rStyle w:val="Hyperlink"/>
                <w:noProof/>
              </w:rPr>
              <w:t>BASE-CASE DETERMINISTIC RESULTS</w:t>
            </w:r>
            <w:r w:rsidR="001968E1">
              <w:rPr>
                <w:noProof/>
              </w:rPr>
              <w:tab/>
            </w:r>
            <w:r w:rsidR="001968E1">
              <w:rPr>
                <w:noProof/>
              </w:rPr>
              <w:fldChar w:fldCharType="begin"/>
            </w:r>
            <w:r w:rsidR="001968E1">
              <w:rPr>
                <w:noProof/>
              </w:rPr>
              <w:instrText>PAGEREF _Toc1642436606 \h</w:instrText>
            </w:r>
            <w:r w:rsidR="001968E1">
              <w:rPr>
                <w:noProof/>
              </w:rPr>
            </w:r>
            <w:r w:rsidR="001968E1">
              <w:rPr>
                <w:noProof/>
              </w:rPr>
              <w:fldChar w:fldCharType="separate"/>
            </w:r>
            <w:r w:rsidR="00B9615C">
              <w:rPr>
                <w:noProof/>
              </w:rPr>
              <w:t>30</w:t>
            </w:r>
            <w:r w:rsidR="001968E1">
              <w:rPr>
                <w:noProof/>
              </w:rPr>
              <w:fldChar w:fldCharType="end"/>
            </w:r>
          </w:hyperlink>
        </w:p>
        <w:p w14:paraId="5B524EC6" w14:textId="54E201B0" w:rsidR="001968E1" w:rsidRDefault="30076135" w:rsidP="30076135">
          <w:pPr>
            <w:pStyle w:val="TOC2"/>
            <w:tabs>
              <w:tab w:val="right" w:leader="dot" w:pos="9060"/>
            </w:tabs>
            <w:rPr>
              <w:rStyle w:val="Hyperlink"/>
              <w:noProof/>
              <w:kern w:val="2"/>
              <w:lang w:val="nl-NL" w:eastAsia="nl-NL"/>
            </w:rPr>
          </w:pPr>
          <w:hyperlink w:anchor="_Toc2001221467">
            <w:r w:rsidRPr="30076135">
              <w:rPr>
                <w:rStyle w:val="Hyperlink"/>
                <w:noProof/>
              </w:rPr>
              <w:t>PROBABILISTIC SENSITIVITY ANALYSIS RESULTS</w:t>
            </w:r>
            <w:r w:rsidR="001968E1">
              <w:rPr>
                <w:noProof/>
              </w:rPr>
              <w:tab/>
            </w:r>
            <w:r w:rsidR="001968E1">
              <w:rPr>
                <w:noProof/>
              </w:rPr>
              <w:fldChar w:fldCharType="begin"/>
            </w:r>
            <w:r w:rsidR="001968E1">
              <w:rPr>
                <w:noProof/>
              </w:rPr>
              <w:instrText>PAGEREF _Toc2001221467 \h</w:instrText>
            </w:r>
            <w:r w:rsidR="001968E1">
              <w:rPr>
                <w:noProof/>
              </w:rPr>
            </w:r>
            <w:r w:rsidR="001968E1">
              <w:rPr>
                <w:noProof/>
              </w:rPr>
              <w:fldChar w:fldCharType="separate"/>
            </w:r>
            <w:r w:rsidR="00B9615C">
              <w:rPr>
                <w:noProof/>
              </w:rPr>
              <w:t>33</w:t>
            </w:r>
            <w:r w:rsidR="001968E1">
              <w:rPr>
                <w:noProof/>
              </w:rPr>
              <w:fldChar w:fldCharType="end"/>
            </w:r>
          </w:hyperlink>
        </w:p>
        <w:p w14:paraId="7FA4F23E" w14:textId="59AB0626" w:rsidR="001968E1" w:rsidRDefault="30076135" w:rsidP="30076135">
          <w:pPr>
            <w:pStyle w:val="TOC2"/>
            <w:tabs>
              <w:tab w:val="right" w:leader="dot" w:pos="9060"/>
            </w:tabs>
            <w:rPr>
              <w:rStyle w:val="Hyperlink"/>
              <w:noProof/>
              <w:kern w:val="2"/>
              <w:lang w:val="nl-NL" w:eastAsia="nl-NL"/>
            </w:rPr>
          </w:pPr>
          <w:hyperlink w:anchor="_Toc880424934">
            <w:r w:rsidRPr="30076135">
              <w:rPr>
                <w:rStyle w:val="Hyperlink"/>
                <w:noProof/>
              </w:rPr>
              <w:t>SCENARIO ANALYSES RESULTS</w:t>
            </w:r>
            <w:r w:rsidR="001968E1">
              <w:rPr>
                <w:noProof/>
              </w:rPr>
              <w:tab/>
            </w:r>
            <w:r w:rsidR="001968E1">
              <w:rPr>
                <w:noProof/>
              </w:rPr>
              <w:fldChar w:fldCharType="begin"/>
            </w:r>
            <w:r w:rsidR="001968E1">
              <w:rPr>
                <w:noProof/>
              </w:rPr>
              <w:instrText>PAGEREF _Toc880424934 \h</w:instrText>
            </w:r>
            <w:r w:rsidR="001968E1">
              <w:rPr>
                <w:noProof/>
              </w:rPr>
            </w:r>
            <w:r w:rsidR="001968E1">
              <w:rPr>
                <w:noProof/>
              </w:rPr>
              <w:fldChar w:fldCharType="separate"/>
            </w:r>
            <w:r w:rsidR="00B9615C">
              <w:rPr>
                <w:noProof/>
              </w:rPr>
              <w:t>35</w:t>
            </w:r>
            <w:r w:rsidR="001968E1">
              <w:rPr>
                <w:noProof/>
              </w:rPr>
              <w:fldChar w:fldCharType="end"/>
            </w:r>
          </w:hyperlink>
        </w:p>
        <w:p w14:paraId="75EE3F70" w14:textId="28458E68" w:rsidR="001968E1" w:rsidRDefault="30076135" w:rsidP="30076135">
          <w:pPr>
            <w:pStyle w:val="TOC2"/>
            <w:tabs>
              <w:tab w:val="right" w:leader="dot" w:pos="9060"/>
            </w:tabs>
            <w:rPr>
              <w:rStyle w:val="Hyperlink"/>
              <w:noProof/>
              <w:kern w:val="2"/>
              <w:lang w:val="nl-NL" w:eastAsia="nl-NL"/>
            </w:rPr>
          </w:pPr>
          <w:hyperlink w:anchor="_Toc29372870">
            <w:r w:rsidRPr="30076135">
              <w:rPr>
                <w:rStyle w:val="Hyperlink"/>
                <w:noProof/>
              </w:rPr>
              <w:t>KEY MODELLING CHOICES AND ASSUMPTIONS</w:t>
            </w:r>
            <w:r w:rsidR="001968E1">
              <w:rPr>
                <w:noProof/>
              </w:rPr>
              <w:tab/>
            </w:r>
            <w:r w:rsidR="001968E1">
              <w:rPr>
                <w:noProof/>
              </w:rPr>
              <w:fldChar w:fldCharType="begin"/>
            </w:r>
            <w:r w:rsidR="001968E1">
              <w:rPr>
                <w:noProof/>
              </w:rPr>
              <w:instrText>PAGEREF _Toc29372870 \h</w:instrText>
            </w:r>
            <w:r w:rsidR="001968E1">
              <w:rPr>
                <w:noProof/>
              </w:rPr>
            </w:r>
            <w:r w:rsidR="001968E1">
              <w:rPr>
                <w:noProof/>
              </w:rPr>
              <w:fldChar w:fldCharType="separate"/>
            </w:r>
            <w:r w:rsidR="00B9615C">
              <w:rPr>
                <w:noProof/>
              </w:rPr>
              <w:t>36</w:t>
            </w:r>
            <w:r w:rsidR="001968E1">
              <w:rPr>
                <w:noProof/>
              </w:rPr>
              <w:fldChar w:fldCharType="end"/>
            </w:r>
          </w:hyperlink>
        </w:p>
        <w:p w14:paraId="5004A2E6" w14:textId="6C20CD32" w:rsidR="001968E1" w:rsidRDefault="30076135" w:rsidP="30076135">
          <w:pPr>
            <w:pStyle w:val="TOC1"/>
            <w:tabs>
              <w:tab w:val="right" w:leader="dot" w:pos="9060"/>
            </w:tabs>
            <w:rPr>
              <w:rStyle w:val="Hyperlink"/>
              <w:noProof/>
              <w:kern w:val="2"/>
              <w:lang w:val="nl-NL" w:eastAsia="nl-NL"/>
            </w:rPr>
          </w:pPr>
          <w:hyperlink w:anchor="_Toc1858160046">
            <w:r w:rsidRPr="30076135">
              <w:rPr>
                <w:rStyle w:val="Hyperlink"/>
                <w:noProof/>
              </w:rPr>
              <w:t>APPENDIX</w:t>
            </w:r>
            <w:r w:rsidR="001968E1">
              <w:rPr>
                <w:noProof/>
              </w:rPr>
              <w:tab/>
            </w:r>
            <w:r w:rsidR="001968E1">
              <w:rPr>
                <w:noProof/>
              </w:rPr>
              <w:fldChar w:fldCharType="begin"/>
            </w:r>
            <w:r w:rsidR="001968E1">
              <w:rPr>
                <w:noProof/>
              </w:rPr>
              <w:instrText>PAGEREF _Toc1858160046 \h</w:instrText>
            </w:r>
            <w:r w:rsidR="001968E1">
              <w:rPr>
                <w:noProof/>
              </w:rPr>
            </w:r>
            <w:r w:rsidR="001968E1">
              <w:rPr>
                <w:noProof/>
              </w:rPr>
              <w:fldChar w:fldCharType="separate"/>
            </w:r>
            <w:r w:rsidR="00B9615C">
              <w:rPr>
                <w:noProof/>
              </w:rPr>
              <w:t>38</w:t>
            </w:r>
            <w:r w:rsidR="001968E1">
              <w:rPr>
                <w:noProof/>
              </w:rPr>
              <w:fldChar w:fldCharType="end"/>
            </w:r>
          </w:hyperlink>
        </w:p>
        <w:p w14:paraId="5CEA2B18" w14:textId="43F68F90" w:rsidR="001968E1" w:rsidRDefault="30076135" w:rsidP="30076135">
          <w:pPr>
            <w:pStyle w:val="TOC2"/>
            <w:tabs>
              <w:tab w:val="right" w:leader="dot" w:pos="9060"/>
            </w:tabs>
            <w:rPr>
              <w:rStyle w:val="Hyperlink"/>
              <w:noProof/>
              <w:kern w:val="2"/>
              <w:lang w:val="nl-NL" w:eastAsia="nl-NL"/>
            </w:rPr>
          </w:pPr>
          <w:hyperlink w:anchor="_Toc699813278">
            <w:r w:rsidRPr="30076135">
              <w:rPr>
                <w:rStyle w:val="Hyperlink"/>
                <w:noProof/>
              </w:rPr>
              <w:t>APPENDIX A – Survival curve fitting</w:t>
            </w:r>
            <w:r w:rsidR="001968E1">
              <w:rPr>
                <w:noProof/>
              </w:rPr>
              <w:tab/>
            </w:r>
            <w:r w:rsidR="001968E1">
              <w:rPr>
                <w:noProof/>
              </w:rPr>
              <w:fldChar w:fldCharType="begin"/>
            </w:r>
            <w:r w:rsidR="001968E1">
              <w:rPr>
                <w:noProof/>
              </w:rPr>
              <w:instrText>PAGEREF _Toc699813278 \h</w:instrText>
            </w:r>
            <w:r w:rsidR="001968E1">
              <w:rPr>
                <w:noProof/>
              </w:rPr>
            </w:r>
            <w:r w:rsidR="001968E1">
              <w:rPr>
                <w:noProof/>
              </w:rPr>
              <w:fldChar w:fldCharType="separate"/>
            </w:r>
            <w:r w:rsidR="00B9615C">
              <w:rPr>
                <w:noProof/>
              </w:rPr>
              <w:t>38</w:t>
            </w:r>
            <w:r w:rsidR="001968E1">
              <w:rPr>
                <w:noProof/>
              </w:rPr>
              <w:fldChar w:fldCharType="end"/>
            </w:r>
          </w:hyperlink>
        </w:p>
        <w:p w14:paraId="1E8413E2" w14:textId="5C36106C" w:rsidR="001968E1" w:rsidRDefault="30076135" w:rsidP="30076135">
          <w:pPr>
            <w:pStyle w:val="TOC2"/>
            <w:tabs>
              <w:tab w:val="right" w:leader="dot" w:pos="9060"/>
            </w:tabs>
            <w:rPr>
              <w:rStyle w:val="Hyperlink"/>
              <w:noProof/>
              <w:kern w:val="2"/>
              <w:lang w:val="nl-NL" w:eastAsia="nl-NL"/>
            </w:rPr>
          </w:pPr>
          <w:hyperlink w:anchor="_Toc1696217125">
            <w:r w:rsidRPr="30076135">
              <w:rPr>
                <w:rStyle w:val="Hyperlink"/>
                <w:noProof/>
              </w:rPr>
              <w:t>APPENDIX B – Sources of resources use and costs</w:t>
            </w:r>
            <w:r w:rsidR="001968E1">
              <w:rPr>
                <w:noProof/>
              </w:rPr>
              <w:tab/>
            </w:r>
            <w:r w:rsidR="001968E1">
              <w:rPr>
                <w:noProof/>
              </w:rPr>
              <w:fldChar w:fldCharType="begin"/>
            </w:r>
            <w:r w:rsidR="001968E1">
              <w:rPr>
                <w:noProof/>
              </w:rPr>
              <w:instrText>PAGEREF _Toc1696217125 \h</w:instrText>
            </w:r>
            <w:r w:rsidR="001968E1">
              <w:rPr>
                <w:noProof/>
              </w:rPr>
            </w:r>
            <w:r w:rsidR="001968E1">
              <w:rPr>
                <w:noProof/>
              </w:rPr>
              <w:fldChar w:fldCharType="separate"/>
            </w:r>
            <w:r w:rsidR="00B9615C">
              <w:rPr>
                <w:noProof/>
              </w:rPr>
              <w:t>40</w:t>
            </w:r>
            <w:r w:rsidR="001968E1">
              <w:rPr>
                <w:noProof/>
              </w:rPr>
              <w:fldChar w:fldCharType="end"/>
            </w:r>
          </w:hyperlink>
        </w:p>
        <w:p w14:paraId="4BFB889D" w14:textId="7371190F" w:rsidR="001968E1" w:rsidRDefault="30076135" w:rsidP="30076135">
          <w:pPr>
            <w:pStyle w:val="TOC2"/>
            <w:tabs>
              <w:tab w:val="right" w:leader="dot" w:pos="9060"/>
            </w:tabs>
            <w:rPr>
              <w:rStyle w:val="Hyperlink"/>
              <w:noProof/>
              <w:kern w:val="2"/>
              <w:lang w:val="nl-NL" w:eastAsia="nl-NL"/>
            </w:rPr>
          </w:pPr>
          <w:hyperlink w:anchor="_Toc253570375">
            <w:r w:rsidRPr="30076135">
              <w:rPr>
                <w:rStyle w:val="Hyperlink"/>
                <w:noProof/>
              </w:rPr>
              <w:t>APPENDIX C – Sensitivity analysis</w:t>
            </w:r>
            <w:r w:rsidR="001968E1">
              <w:rPr>
                <w:noProof/>
              </w:rPr>
              <w:tab/>
            </w:r>
            <w:r w:rsidR="001968E1">
              <w:rPr>
                <w:noProof/>
              </w:rPr>
              <w:fldChar w:fldCharType="begin"/>
            </w:r>
            <w:r w:rsidR="001968E1">
              <w:rPr>
                <w:noProof/>
              </w:rPr>
              <w:instrText>PAGEREF _Toc253570375 \h</w:instrText>
            </w:r>
            <w:r w:rsidR="001968E1">
              <w:rPr>
                <w:noProof/>
              </w:rPr>
            </w:r>
            <w:r w:rsidR="001968E1">
              <w:rPr>
                <w:noProof/>
              </w:rPr>
              <w:fldChar w:fldCharType="separate"/>
            </w:r>
            <w:r w:rsidR="00B9615C">
              <w:rPr>
                <w:noProof/>
              </w:rPr>
              <w:t>42</w:t>
            </w:r>
            <w:r w:rsidR="001968E1">
              <w:rPr>
                <w:noProof/>
              </w:rPr>
              <w:fldChar w:fldCharType="end"/>
            </w:r>
          </w:hyperlink>
        </w:p>
        <w:p w14:paraId="0BB4BBC4" w14:textId="59BB811D" w:rsidR="001968E1" w:rsidRDefault="30076135" w:rsidP="30076135">
          <w:pPr>
            <w:pStyle w:val="TOC1"/>
            <w:tabs>
              <w:tab w:val="right" w:leader="dot" w:pos="9060"/>
            </w:tabs>
            <w:rPr>
              <w:rStyle w:val="Hyperlink"/>
              <w:noProof/>
              <w:kern w:val="2"/>
              <w:lang w:val="nl-NL" w:eastAsia="nl-NL"/>
            </w:rPr>
          </w:pPr>
          <w:hyperlink w:anchor="_Toc1088081107">
            <w:r w:rsidRPr="30076135">
              <w:rPr>
                <w:rStyle w:val="Hyperlink"/>
                <w:noProof/>
              </w:rPr>
              <w:t>R</w:t>
            </w:r>
            <w:r w:rsidR="00403F5A">
              <w:rPr>
                <w:rStyle w:val="Hyperlink"/>
                <w:noProof/>
              </w:rPr>
              <w:t>EFERENCES</w:t>
            </w:r>
            <w:r w:rsidR="001968E1">
              <w:rPr>
                <w:noProof/>
              </w:rPr>
              <w:tab/>
            </w:r>
            <w:r w:rsidR="001968E1">
              <w:rPr>
                <w:noProof/>
              </w:rPr>
              <w:fldChar w:fldCharType="begin"/>
            </w:r>
            <w:r w:rsidR="001968E1">
              <w:rPr>
                <w:noProof/>
              </w:rPr>
              <w:instrText>PAGEREF _Toc1088081107 \h</w:instrText>
            </w:r>
            <w:r w:rsidR="001968E1">
              <w:rPr>
                <w:noProof/>
              </w:rPr>
            </w:r>
            <w:r w:rsidR="001968E1">
              <w:rPr>
                <w:noProof/>
              </w:rPr>
              <w:fldChar w:fldCharType="separate"/>
            </w:r>
            <w:r w:rsidR="00B9615C">
              <w:rPr>
                <w:noProof/>
              </w:rPr>
              <w:t>46</w:t>
            </w:r>
            <w:r w:rsidR="001968E1">
              <w:rPr>
                <w:noProof/>
              </w:rPr>
              <w:fldChar w:fldCharType="end"/>
            </w:r>
          </w:hyperlink>
          <w:r w:rsidR="001968E1">
            <w:fldChar w:fldCharType="end"/>
          </w:r>
        </w:p>
      </w:sdtContent>
    </w:sdt>
    <w:p w14:paraId="70AB5CE8" w14:textId="5C1141E2" w:rsidR="76C0B922" w:rsidRPr="00E204F6" w:rsidRDefault="76C0B922" w:rsidP="76C0B922">
      <w:pPr>
        <w:pStyle w:val="TOC1"/>
        <w:tabs>
          <w:tab w:val="right" w:leader="dot" w:pos="9060"/>
        </w:tabs>
        <w:rPr>
          <w:rStyle w:val="Hyperlink"/>
          <w:rFonts w:ascii="Times New Roman" w:hAnsi="Times New Roman" w:cs="Times New Roman"/>
        </w:rPr>
      </w:pPr>
    </w:p>
    <w:p w14:paraId="5F686A61" w14:textId="3080A4F2" w:rsidR="0EC694D7" w:rsidRPr="00E204F6" w:rsidRDefault="0EC694D7" w:rsidP="0EC694D7">
      <w:pPr>
        <w:rPr>
          <w:rFonts w:ascii="Times New Roman" w:eastAsia="Times New Roman" w:hAnsi="Times New Roman" w:cs="Times New Roman"/>
          <w:i/>
          <w:iCs/>
          <w:color w:val="FF0000"/>
          <w:sz w:val="24"/>
          <w:szCs w:val="24"/>
        </w:rPr>
      </w:pPr>
    </w:p>
    <w:p w14:paraId="49D6D315" w14:textId="6382DB20" w:rsidR="0EC694D7" w:rsidRPr="00E204F6" w:rsidRDefault="0EC694D7" w:rsidP="0EC694D7">
      <w:pPr>
        <w:rPr>
          <w:rFonts w:ascii="Times New Roman" w:eastAsia="Times New Roman" w:hAnsi="Times New Roman" w:cs="Times New Roman"/>
          <w:sz w:val="24"/>
          <w:szCs w:val="24"/>
        </w:rPr>
      </w:pPr>
    </w:p>
    <w:p w14:paraId="1CF89F3E" w14:textId="53D07625" w:rsidR="0EC694D7" w:rsidRPr="00E204F6" w:rsidRDefault="0EC694D7" w:rsidP="0EC694D7">
      <w:pPr>
        <w:rPr>
          <w:rFonts w:ascii="Times New Roman" w:eastAsia="Times New Roman" w:hAnsi="Times New Roman" w:cs="Times New Roman"/>
          <w:sz w:val="24"/>
          <w:szCs w:val="24"/>
        </w:rPr>
      </w:pPr>
    </w:p>
    <w:p w14:paraId="140A49C6" w14:textId="01832C8F" w:rsidR="0EC694D7" w:rsidRPr="00E204F6" w:rsidRDefault="0EC694D7" w:rsidP="0EC694D7">
      <w:pPr>
        <w:rPr>
          <w:rFonts w:ascii="Times New Roman" w:eastAsia="Times New Roman" w:hAnsi="Times New Roman" w:cs="Times New Roman"/>
          <w:sz w:val="24"/>
          <w:szCs w:val="24"/>
        </w:rPr>
      </w:pPr>
    </w:p>
    <w:p w14:paraId="6413DD36" w14:textId="45C43396" w:rsidR="0EC694D7" w:rsidRPr="00E204F6" w:rsidRDefault="0EC694D7" w:rsidP="0EC694D7">
      <w:pPr>
        <w:rPr>
          <w:rFonts w:ascii="Times New Roman" w:eastAsia="Times New Roman" w:hAnsi="Times New Roman" w:cs="Times New Roman"/>
          <w:sz w:val="24"/>
          <w:szCs w:val="24"/>
        </w:rPr>
      </w:pPr>
    </w:p>
    <w:p w14:paraId="3477FA8D" w14:textId="38316A47" w:rsidR="0EC694D7" w:rsidRPr="00E204F6" w:rsidRDefault="0EC694D7" w:rsidP="0EC694D7">
      <w:pPr>
        <w:rPr>
          <w:rFonts w:ascii="Times New Roman" w:eastAsia="Times New Roman" w:hAnsi="Times New Roman" w:cs="Times New Roman"/>
          <w:sz w:val="24"/>
          <w:szCs w:val="24"/>
        </w:rPr>
      </w:pPr>
    </w:p>
    <w:p w14:paraId="004C7B2C" w14:textId="4B249760" w:rsidR="0EC694D7" w:rsidRPr="00E204F6" w:rsidRDefault="0EC694D7" w:rsidP="0EC694D7">
      <w:pPr>
        <w:rPr>
          <w:rFonts w:ascii="Times New Roman" w:eastAsia="Times New Roman" w:hAnsi="Times New Roman" w:cs="Times New Roman"/>
          <w:sz w:val="24"/>
          <w:szCs w:val="24"/>
        </w:rPr>
      </w:pPr>
    </w:p>
    <w:p w14:paraId="36410579" w14:textId="70C19028" w:rsidR="0EC694D7" w:rsidRPr="00E204F6" w:rsidRDefault="0EC694D7" w:rsidP="0EC694D7">
      <w:pPr>
        <w:rPr>
          <w:rFonts w:ascii="Times New Roman" w:eastAsia="Times New Roman" w:hAnsi="Times New Roman" w:cs="Times New Roman"/>
          <w:sz w:val="24"/>
          <w:szCs w:val="24"/>
        </w:rPr>
      </w:pPr>
    </w:p>
    <w:p w14:paraId="490E10E9" w14:textId="13D0D3A2" w:rsidR="0EC694D7" w:rsidRPr="00E204F6" w:rsidRDefault="0EC694D7" w:rsidP="0EC694D7">
      <w:pPr>
        <w:rPr>
          <w:rFonts w:ascii="Times New Roman" w:eastAsia="Times New Roman" w:hAnsi="Times New Roman" w:cs="Times New Roman"/>
          <w:sz w:val="24"/>
          <w:szCs w:val="24"/>
        </w:rPr>
      </w:pPr>
    </w:p>
    <w:p w14:paraId="1F91324E" w14:textId="1585CADF" w:rsidR="0EC694D7" w:rsidRPr="00E204F6" w:rsidRDefault="0EC694D7" w:rsidP="0EC694D7">
      <w:pPr>
        <w:rPr>
          <w:rFonts w:ascii="Times New Roman" w:eastAsia="Times New Roman" w:hAnsi="Times New Roman" w:cs="Times New Roman"/>
          <w:sz w:val="24"/>
          <w:szCs w:val="24"/>
        </w:rPr>
      </w:pPr>
    </w:p>
    <w:p w14:paraId="21CE4EB0" w14:textId="4A672675" w:rsidR="0EC694D7" w:rsidRPr="00E204F6" w:rsidRDefault="0EC694D7" w:rsidP="0EC694D7">
      <w:pPr>
        <w:rPr>
          <w:rFonts w:ascii="Times New Roman" w:eastAsia="Times New Roman" w:hAnsi="Times New Roman" w:cs="Times New Roman"/>
          <w:sz w:val="24"/>
          <w:szCs w:val="24"/>
        </w:rPr>
      </w:pPr>
    </w:p>
    <w:p w14:paraId="6339CBD0" w14:textId="2FE432ED" w:rsidR="0EC694D7" w:rsidRPr="00E204F6" w:rsidRDefault="0EC694D7" w:rsidP="0EC694D7">
      <w:pPr>
        <w:rPr>
          <w:rFonts w:ascii="Times New Roman" w:eastAsia="Times New Roman" w:hAnsi="Times New Roman" w:cs="Times New Roman"/>
          <w:sz w:val="24"/>
          <w:szCs w:val="24"/>
        </w:rPr>
      </w:pPr>
    </w:p>
    <w:p w14:paraId="73C471FA" w14:textId="18FCEF93" w:rsidR="0EC694D7" w:rsidRPr="00E204F6" w:rsidRDefault="0EC694D7" w:rsidP="0EC694D7">
      <w:pPr>
        <w:rPr>
          <w:rFonts w:ascii="Times New Roman" w:eastAsia="Times New Roman" w:hAnsi="Times New Roman" w:cs="Times New Roman"/>
          <w:sz w:val="24"/>
          <w:szCs w:val="24"/>
        </w:rPr>
      </w:pPr>
    </w:p>
    <w:p w14:paraId="5786E022" w14:textId="0BCA97A1" w:rsidR="511B3684" w:rsidRPr="00E204F6" w:rsidRDefault="511B3684" w:rsidP="76C0B922">
      <w:pPr>
        <w:pStyle w:val="Heading1"/>
        <w:spacing w:before="0" w:after="160"/>
        <w:rPr>
          <w:rFonts w:ascii="Times New Roman" w:eastAsia="Times New Roman" w:hAnsi="Times New Roman" w:cs="Times New Roman"/>
          <w:color w:val="auto"/>
          <w:sz w:val="32"/>
          <w:szCs w:val="32"/>
        </w:rPr>
      </w:pPr>
    </w:p>
    <w:p w14:paraId="05812777" w14:textId="724D4BE4" w:rsidR="511B3684" w:rsidRPr="00E204F6" w:rsidRDefault="511B3684" w:rsidP="00A77ADC">
      <w:pPr>
        <w:jc w:val="center"/>
        <w:rPr>
          <w:rFonts w:ascii="Times New Roman" w:eastAsia="Times New Roman" w:hAnsi="Times New Roman" w:cs="Times New Roman"/>
          <w:sz w:val="32"/>
          <w:szCs w:val="32"/>
        </w:rPr>
      </w:pPr>
      <w:r w:rsidRPr="00E204F6">
        <w:rPr>
          <w:rFonts w:ascii="Times New Roman" w:hAnsi="Times New Roman" w:cs="Times New Roman"/>
        </w:rPr>
        <w:br w:type="page"/>
      </w:r>
      <w:r w:rsidR="22345F23" w:rsidRPr="00E204F6">
        <w:rPr>
          <w:rFonts w:ascii="Times New Roman" w:eastAsia="Times New Roman" w:hAnsi="Times New Roman" w:cs="Times New Roman"/>
          <w:sz w:val="32"/>
          <w:szCs w:val="32"/>
        </w:rPr>
        <w:lastRenderedPageBreak/>
        <w:t>INTRODUCTION</w:t>
      </w:r>
    </w:p>
    <w:p w14:paraId="1D4430C8" w14:textId="7FE9F01B" w:rsidR="005B1FB3" w:rsidRPr="00E204F6" w:rsidRDefault="78CC415B" w:rsidP="00B2D36F">
      <w:pPr>
        <w:spacing w:before="240" w:after="240"/>
        <w:jc w:val="both"/>
        <w:rPr>
          <w:rFonts w:ascii="Times New Roman" w:eastAsia="Times New Roman" w:hAnsi="Times New Roman" w:cs="Times New Roman"/>
          <w:color w:val="000000" w:themeColor="text1"/>
          <w:sz w:val="24"/>
          <w:szCs w:val="24"/>
        </w:rPr>
      </w:pPr>
      <w:r w:rsidRPr="00E204F6">
        <w:rPr>
          <w:rFonts w:ascii="Times New Roman" w:eastAsia="Times New Roman" w:hAnsi="Times New Roman" w:cs="Times New Roman"/>
          <w:color w:val="000000" w:themeColor="text1"/>
          <w:sz w:val="24"/>
          <w:szCs w:val="24"/>
        </w:rPr>
        <w:t xml:space="preserve">Prostate cancer is one of the </w:t>
      </w:r>
      <w:r w:rsidR="7A662838" w:rsidRPr="00E204F6">
        <w:rPr>
          <w:rFonts w:ascii="Times New Roman" w:eastAsia="Times New Roman" w:hAnsi="Times New Roman" w:cs="Times New Roman"/>
          <w:color w:val="000000" w:themeColor="text1"/>
          <w:sz w:val="24"/>
          <w:szCs w:val="24"/>
        </w:rPr>
        <w:t>most diagnosed</w:t>
      </w:r>
      <w:r w:rsidRPr="00E204F6">
        <w:rPr>
          <w:rFonts w:ascii="Times New Roman" w:eastAsia="Times New Roman" w:hAnsi="Times New Roman" w:cs="Times New Roman"/>
          <w:color w:val="000000" w:themeColor="text1"/>
          <w:sz w:val="24"/>
          <w:szCs w:val="24"/>
        </w:rPr>
        <w:t xml:space="preserve"> cancers in men in the United Kingdom, with approximately 55,300 new cases each year (Cancer Research UK, 2023). It accounts for 28% </w:t>
      </w:r>
      <w:r w:rsidR="6BC7788C" w:rsidRPr="00E204F6">
        <w:rPr>
          <w:rFonts w:ascii="Times New Roman" w:eastAsia="Times New Roman" w:hAnsi="Times New Roman" w:cs="Times New Roman"/>
          <w:color w:val="000000" w:themeColor="text1"/>
          <w:sz w:val="24"/>
          <w:szCs w:val="24"/>
        </w:rPr>
        <w:t xml:space="preserve">of </w:t>
      </w:r>
      <w:r w:rsidRPr="00E204F6">
        <w:rPr>
          <w:rFonts w:ascii="Times New Roman" w:eastAsia="Times New Roman" w:hAnsi="Times New Roman" w:cs="Times New Roman"/>
          <w:color w:val="000000" w:themeColor="text1"/>
          <w:sz w:val="24"/>
          <w:szCs w:val="24"/>
        </w:rPr>
        <w:t>all male cancer diagnoses and</w:t>
      </w:r>
      <w:r w:rsidR="569D7628" w:rsidRPr="00E204F6">
        <w:rPr>
          <w:rFonts w:ascii="Times New Roman" w:eastAsia="Times New Roman" w:hAnsi="Times New Roman" w:cs="Times New Roman"/>
          <w:color w:val="000000" w:themeColor="text1"/>
          <w:sz w:val="24"/>
          <w:szCs w:val="24"/>
        </w:rPr>
        <w:t xml:space="preserve"> it</w:t>
      </w:r>
      <w:r w:rsidRPr="00E204F6">
        <w:rPr>
          <w:rFonts w:ascii="Times New Roman" w:eastAsia="Times New Roman" w:hAnsi="Times New Roman" w:cs="Times New Roman"/>
          <w:color w:val="000000" w:themeColor="text1"/>
          <w:sz w:val="24"/>
          <w:szCs w:val="24"/>
        </w:rPr>
        <w:t xml:space="preserve"> is the third most common cause of cancer death in the UK, responsible for around 12,200 deaths annually (Cancer Research UK, 2023). The risk of developing prostate cancer increases substantially with age, with most diagnoses occurring in men over 50 years (James et al</w:t>
      </w:r>
      <w:r w:rsidR="00E204F6">
        <w:rPr>
          <w:rFonts w:ascii="Times New Roman" w:eastAsia="Times New Roman" w:hAnsi="Times New Roman" w:cs="Times New Roman"/>
          <w:color w:val="000000" w:themeColor="text1"/>
          <w:sz w:val="24"/>
          <w:szCs w:val="24"/>
        </w:rPr>
        <w:t>.</w:t>
      </w:r>
      <w:r w:rsidRPr="00E204F6">
        <w:rPr>
          <w:rFonts w:ascii="Times New Roman" w:eastAsia="Times New Roman" w:hAnsi="Times New Roman" w:cs="Times New Roman"/>
          <w:color w:val="000000" w:themeColor="text1"/>
          <w:sz w:val="24"/>
          <w:szCs w:val="24"/>
        </w:rPr>
        <w:t>, 2024). Although overall survival has improved considerably in recent decades, with approximately 79% of patients now surviving ten years or more after diagnosis, outcomes for men with advanced-stage disease remain poor (Cancer Research UK, 2023; James et al., 2024).</w:t>
      </w:r>
    </w:p>
    <w:p w14:paraId="126FD751" w14:textId="699F1686" w:rsidR="005B1FB3" w:rsidRPr="00E204F6" w:rsidRDefault="513AA4BD" w:rsidP="76C0B922">
      <w:pPr>
        <w:spacing w:before="240" w:after="240"/>
        <w:jc w:val="both"/>
        <w:rPr>
          <w:rFonts w:ascii="Times New Roman" w:eastAsia="Times New Roman" w:hAnsi="Times New Roman" w:cs="Times New Roman"/>
          <w:color w:val="000000" w:themeColor="text1"/>
          <w:sz w:val="24"/>
          <w:szCs w:val="24"/>
        </w:rPr>
      </w:pPr>
      <w:r w:rsidRPr="00E204F6">
        <w:rPr>
          <w:rFonts w:ascii="Times New Roman" w:eastAsia="Times New Roman" w:hAnsi="Times New Roman" w:cs="Times New Roman"/>
          <w:color w:val="000000" w:themeColor="text1"/>
          <w:sz w:val="24"/>
          <w:szCs w:val="24"/>
        </w:rPr>
        <w:t>For</w:t>
      </w:r>
      <w:r w:rsidR="2EDA5EFA" w:rsidRPr="00E204F6">
        <w:rPr>
          <w:rFonts w:ascii="Times New Roman" w:eastAsia="Times New Roman" w:hAnsi="Times New Roman" w:cs="Times New Roman"/>
          <w:color w:val="000000" w:themeColor="text1"/>
          <w:sz w:val="24"/>
          <w:szCs w:val="24"/>
        </w:rPr>
        <w:t xml:space="preserve"> many patients, prostate cancer is initially </w:t>
      </w:r>
      <w:r w:rsidR="33D394D2" w:rsidRPr="00E204F6">
        <w:rPr>
          <w:rFonts w:ascii="Times New Roman" w:eastAsia="Times New Roman" w:hAnsi="Times New Roman" w:cs="Times New Roman"/>
          <w:color w:val="000000" w:themeColor="text1"/>
          <w:sz w:val="24"/>
          <w:szCs w:val="24"/>
        </w:rPr>
        <w:t>con</w:t>
      </w:r>
      <w:r w:rsidR="649BFB05" w:rsidRPr="00E204F6">
        <w:rPr>
          <w:rFonts w:ascii="Times New Roman" w:eastAsia="Times New Roman" w:hAnsi="Times New Roman" w:cs="Times New Roman"/>
          <w:color w:val="000000" w:themeColor="text1"/>
          <w:sz w:val="24"/>
          <w:szCs w:val="24"/>
        </w:rPr>
        <w:t xml:space="preserve">fined </w:t>
      </w:r>
      <w:r w:rsidR="2EDA5EFA" w:rsidRPr="00E204F6">
        <w:rPr>
          <w:rFonts w:ascii="Times New Roman" w:eastAsia="Times New Roman" w:hAnsi="Times New Roman" w:cs="Times New Roman"/>
          <w:color w:val="000000" w:themeColor="text1"/>
          <w:sz w:val="24"/>
          <w:szCs w:val="24"/>
        </w:rPr>
        <w:t>to the prostate gland and can be treated with cu</w:t>
      </w:r>
      <w:r w:rsidR="303B3D58" w:rsidRPr="00E204F6">
        <w:rPr>
          <w:rFonts w:ascii="Times New Roman" w:eastAsia="Times New Roman" w:hAnsi="Times New Roman" w:cs="Times New Roman"/>
          <w:color w:val="000000" w:themeColor="text1"/>
          <w:sz w:val="24"/>
          <w:szCs w:val="24"/>
        </w:rPr>
        <w:t>r</w:t>
      </w:r>
      <w:r w:rsidR="2EDA5EFA" w:rsidRPr="00E204F6">
        <w:rPr>
          <w:rFonts w:ascii="Times New Roman" w:eastAsia="Times New Roman" w:hAnsi="Times New Roman" w:cs="Times New Roman"/>
          <w:color w:val="000000" w:themeColor="text1"/>
          <w:sz w:val="24"/>
          <w:szCs w:val="24"/>
        </w:rPr>
        <w:t xml:space="preserve">ative intent </w:t>
      </w:r>
      <w:r w:rsidR="1158F62F" w:rsidRPr="00E204F6">
        <w:rPr>
          <w:rFonts w:ascii="Times New Roman" w:eastAsia="Times New Roman" w:hAnsi="Times New Roman" w:cs="Times New Roman"/>
          <w:color w:val="000000" w:themeColor="text1"/>
          <w:sz w:val="24"/>
          <w:szCs w:val="24"/>
        </w:rPr>
        <w:t>through surgery or radiotherapy</w:t>
      </w:r>
      <w:r w:rsidR="4E3EE7E0" w:rsidRPr="00E204F6">
        <w:rPr>
          <w:rFonts w:ascii="Times New Roman" w:eastAsia="Times New Roman" w:hAnsi="Times New Roman" w:cs="Times New Roman"/>
          <w:color w:val="000000" w:themeColor="text1"/>
          <w:sz w:val="24"/>
          <w:szCs w:val="24"/>
        </w:rPr>
        <w:t xml:space="preserve"> (Cornford et al., 202</w:t>
      </w:r>
      <w:r w:rsidR="4B259DCD" w:rsidRPr="00E204F6">
        <w:rPr>
          <w:rFonts w:ascii="Times New Roman" w:eastAsia="Times New Roman" w:hAnsi="Times New Roman" w:cs="Times New Roman"/>
          <w:color w:val="000000" w:themeColor="text1"/>
          <w:sz w:val="24"/>
          <w:szCs w:val="24"/>
        </w:rPr>
        <w:t>1</w:t>
      </w:r>
      <w:r w:rsidR="4E3EE7E0" w:rsidRPr="00E204F6">
        <w:rPr>
          <w:rFonts w:ascii="Times New Roman" w:eastAsia="Times New Roman" w:hAnsi="Times New Roman" w:cs="Times New Roman"/>
          <w:color w:val="000000" w:themeColor="text1"/>
          <w:sz w:val="24"/>
          <w:szCs w:val="24"/>
        </w:rPr>
        <w:t>)</w:t>
      </w:r>
      <w:r w:rsidR="1158F62F" w:rsidRPr="00E204F6">
        <w:rPr>
          <w:rFonts w:ascii="Times New Roman" w:eastAsia="Times New Roman" w:hAnsi="Times New Roman" w:cs="Times New Roman"/>
          <w:color w:val="000000" w:themeColor="text1"/>
          <w:sz w:val="24"/>
          <w:szCs w:val="24"/>
        </w:rPr>
        <w:t xml:space="preserve">. However, a proportion </w:t>
      </w:r>
      <w:r w:rsidR="40F72AAF" w:rsidRPr="00E204F6">
        <w:rPr>
          <w:rFonts w:ascii="Times New Roman" w:eastAsia="Times New Roman" w:hAnsi="Times New Roman" w:cs="Times New Roman"/>
          <w:color w:val="000000" w:themeColor="text1"/>
          <w:sz w:val="24"/>
          <w:szCs w:val="24"/>
        </w:rPr>
        <w:t>of patients</w:t>
      </w:r>
      <w:r w:rsidR="33915658" w:rsidRPr="00E204F6">
        <w:rPr>
          <w:rFonts w:ascii="Times New Roman" w:eastAsia="Times New Roman" w:hAnsi="Times New Roman" w:cs="Times New Roman"/>
          <w:color w:val="000000" w:themeColor="text1"/>
          <w:sz w:val="24"/>
          <w:szCs w:val="24"/>
        </w:rPr>
        <w:t xml:space="preserve"> </w:t>
      </w:r>
      <w:r w:rsidR="16DD698F" w:rsidRPr="00E204F6">
        <w:rPr>
          <w:rFonts w:ascii="Times New Roman" w:eastAsia="Times New Roman" w:hAnsi="Times New Roman" w:cs="Times New Roman"/>
          <w:color w:val="000000" w:themeColor="text1"/>
          <w:sz w:val="24"/>
          <w:szCs w:val="24"/>
        </w:rPr>
        <w:t>is</w:t>
      </w:r>
      <w:r w:rsidR="33915658" w:rsidRPr="00E204F6">
        <w:rPr>
          <w:rFonts w:ascii="Times New Roman" w:eastAsia="Times New Roman" w:hAnsi="Times New Roman" w:cs="Times New Roman"/>
          <w:color w:val="000000" w:themeColor="text1"/>
          <w:sz w:val="24"/>
          <w:szCs w:val="24"/>
        </w:rPr>
        <w:t xml:space="preserve"> present with or eventually </w:t>
      </w:r>
      <w:r w:rsidR="664C123E" w:rsidRPr="00E204F6">
        <w:rPr>
          <w:rFonts w:ascii="Times New Roman" w:eastAsia="Times New Roman" w:hAnsi="Times New Roman" w:cs="Times New Roman"/>
          <w:color w:val="000000" w:themeColor="text1"/>
          <w:sz w:val="24"/>
          <w:szCs w:val="24"/>
        </w:rPr>
        <w:t>develop metastatic disease, in which cancer cells spread beyond the prostate to distant sites, most commonly bones and lymph nodes</w:t>
      </w:r>
      <w:r w:rsidR="6147F767" w:rsidRPr="00E204F6">
        <w:rPr>
          <w:rFonts w:ascii="Times New Roman" w:eastAsia="Times New Roman" w:hAnsi="Times New Roman" w:cs="Times New Roman"/>
          <w:color w:val="000000" w:themeColor="text1"/>
          <w:sz w:val="24"/>
          <w:szCs w:val="24"/>
        </w:rPr>
        <w:t>, often causing symptoms such as back, hip, or pelvis</w:t>
      </w:r>
      <w:r w:rsidR="664C123E" w:rsidRPr="00E204F6">
        <w:rPr>
          <w:rFonts w:ascii="Times New Roman" w:eastAsia="Times New Roman" w:hAnsi="Times New Roman" w:cs="Times New Roman"/>
          <w:color w:val="000000" w:themeColor="text1"/>
          <w:sz w:val="24"/>
          <w:szCs w:val="24"/>
        </w:rPr>
        <w:t xml:space="preserve"> </w:t>
      </w:r>
      <w:r w:rsidR="4141AF08" w:rsidRPr="00E204F6">
        <w:rPr>
          <w:rFonts w:ascii="Times New Roman" w:eastAsia="Times New Roman" w:hAnsi="Times New Roman" w:cs="Times New Roman"/>
          <w:color w:val="000000" w:themeColor="text1"/>
          <w:sz w:val="24"/>
          <w:szCs w:val="24"/>
        </w:rPr>
        <w:t xml:space="preserve">pain </w:t>
      </w:r>
      <w:r w:rsidR="664C123E" w:rsidRPr="00E204F6">
        <w:rPr>
          <w:rFonts w:ascii="Times New Roman" w:eastAsia="Times New Roman" w:hAnsi="Times New Roman" w:cs="Times New Roman"/>
          <w:color w:val="000000" w:themeColor="text1"/>
          <w:sz w:val="24"/>
          <w:szCs w:val="24"/>
        </w:rPr>
        <w:t>(Cornford et al., 202</w:t>
      </w:r>
      <w:r w:rsidR="75DD5A94" w:rsidRPr="00E204F6">
        <w:rPr>
          <w:rFonts w:ascii="Times New Roman" w:eastAsia="Times New Roman" w:hAnsi="Times New Roman" w:cs="Times New Roman"/>
          <w:color w:val="000000" w:themeColor="text1"/>
          <w:sz w:val="24"/>
          <w:szCs w:val="24"/>
        </w:rPr>
        <w:t>1</w:t>
      </w:r>
      <w:r w:rsidR="2BA20034" w:rsidRPr="00E204F6">
        <w:rPr>
          <w:rFonts w:ascii="Times New Roman" w:eastAsia="Times New Roman" w:hAnsi="Times New Roman" w:cs="Times New Roman"/>
          <w:color w:val="000000" w:themeColor="text1"/>
          <w:sz w:val="24"/>
          <w:szCs w:val="24"/>
        </w:rPr>
        <w:t>; De Bono et al, 2010</w:t>
      </w:r>
      <w:r w:rsidR="664C123E" w:rsidRPr="00E204F6">
        <w:rPr>
          <w:rFonts w:ascii="Times New Roman" w:eastAsia="Times New Roman" w:hAnsi="Times New Roman" w:cs="Times New Roman"/>
          <w:color w:val="000000" w:themeColor="text1"/>
          <w:sz w:val="24"/>
          <w:szCs w:val="24"/>
        </w:rPr>
        <w:t>). Once the d</w:t>
      </w:r>
      <w:r w:rsidR="054924E9" w:rsidRPr="00E204F6">
        <w:rPr>
          <w:rFonts w:ascii="Times New Roman" w:eastAsia="Times New Roman" w:hAnsi="Times New Roman" w:cs="Times New Roman"/>
          <w:color w:val="000000" w:themeColor="text1"/>
          <w:sz w:val="24"/>
          <w:szCs w:val="24"/>
        </w:rPr>
        <w:t>isease becomes metastatic, cur</w:t>
      </w:r>
      <w:r w:rsidR="7DD358B6" w:rsidRPr="00E204F6">
        <w:rPr>
          <w:rFonts w:ascii="Times New Roman" w:eastAsia="Times New Roman" w:hAnsi="Times New Roman" w:cs="Times New Roman"/>
          <w:color w:val="000000" w:themeColor="text1"/>
          <w:sz w:val="24"/>
          <w:szCs w:val="24"/>
        </w:rPr>
        <w:t xml:space="preserve">e </w:t>
      </w:r>
      <w:r w:rsidR="054924E9" w:rsidRPr="00E204F6">
        <w:rPr>
          <w:rFonts w:ascii="Times New Roman" w:eastAsia="Times New Roman" w:hAnsi="Times New Roman" w:cs="Times New Roman"/>
          <w:color w:val="000000" w:themeColor="text1"/>
          <w:sz w:val="24"/>
          <w:szCs w:val="24"/>
        </w:rPr>
        <w:t xml:space="preserve">is generally no longer </w:t>
      </w:r>
      <w:r w:rsidR="6AE2E86F" w:rsidRPr="00E204F6">
        <w:rPr>
          <w:rFonts w:ascii="Times New Roman" w:eastAsia="Times New Roman" w:hAnsi="Times New Roman" w:cs="Times New Roman"/>
          <w:color w:val="000000" w:themeColor="text1"/>
          <w:sz w:val="24"/>
          <w:szCs w:val="24"/>
        </w:rPr>
        <w:t>possible,</w:t>
      </w:r>
      <w:r w:rsidR="326BD08F" w:rsidRPr="00E204F6">
        <w:rPr>
          <w:rFonts w:ascii="Times New Roman" w:eastAsia="Times New Roman" w:hAnsi="Times New Roman" w:cs="Times New Roman"/>
          <w:color w:val="000000" w:themeColor="text1"/>
          <w:sz w:val="24"/>
          <w:szCs w:val="24"/>
        </w:rPr>
        <w:t xml:space="preserve"> </w:t>
      </w:r>
      <w:r w:rsidR="054924E9" w:rsidRPr="00E204F6">
        <w:rPr>
          <w:rFonts w:ascii="Times New Roman" w:eastAsia="Times New Roman" w:hAnsi="Times New Roman" w:cs="Times New Roman"/>
          <w:color w:val="000000" w:themeColor="text1"/>
          <w:sz w:val="24"/>
          <w:szCs w:val="24"/>
        </w:rPr>
        <w:t xml:space="preserve">and treatment </w:t>
      </w:r>
      <w:r w:rsidR="4E71F502" w:rsidRPr="00E204F6">
        <w:rPr>
          <w:rFonts w:ascii="Times New Roman" w:eastAsia="Times New Roman" w:hAnsi="Times New Roman" w:cs="Times New Roman"/>
          <w:color w:val="000000" w:themeColor="text1"/>
          <w:sz w:val="24"/>
          <w:szCs w:val="24"/>
        </w:rPr>
        <w:t>focuses on controlling tumour growth and managing symptoms. The standard first-line treatment at this stage is androgen deprivation therapy (ADT),</w:t>
      </w:r>
      <w:r w:rsidR="4E375689" w:rsidRPr="00E204F6">
        <w:rPr>
          <w:rFonts w:ascii="Times New Roman" w:eastAsia="Times New Roman" w:hAnsi="Times New Roman" w:cs="Times New Roman"/>
          <w:color w:val="000000" w:themeColor="text1"/>
          <w:sz w:val="24"/>
          <w:szCs w:val="24"/>
        </w:rPr>
        <w:t xml:space="preserve"> which reduces testosterone levels</w:t>
      </w:r>
      <w:r w:rsidR="41C1A3E5" w:rsidRPr="00E204F6">
        <w:rPr>
          <w:rFonts w:ascii="Times New Roman" w:eastAsia="Times New Roman" w:hAnsi="Times New Roman" w:cs="Times New Roman"/>
          <w:color w:val="000000" w:themeColor="text1"/>
          <w:sz w:val="24"/>
          <w:szCs w:val="24"/>
        </w:rPr>
        <w:t xml:space="preserve"> to slow tumour growth (Cornford et al., 2021). Although ADT is initially effective in most patients, </w:t>
      </w:r>
      <w:r w:rsidR="2CB3C1A7" w:rsidRPr="00E204F6">
        <w:rPr>
          <w:rFonts w:ascii="Times New Roman" w:eastAsia="Times New Roman" w:hAnsi="Times New Roman" w:cs="Times New Roman"/>
          <w:color w:val="000000" w:themeColor="text1"/>
          <w:sz w:val="24"/>
          <w:szCs w:val="24"/>
        </w:rPr>
        <w:t>the disease typically adapts over time and continues to progress despite very low testosterone levels. This stage is known as metastatic castration-resistant prostate cancer (</w:t>
      </w:r>
      <w:proofErr w:type="spellStart"/>
      <w:r w:rsidR="2CB3C1A7" w:rsidRPr="00E204F6">
        <w:rPr>
          <w:rFonts w:ascii="Times New Roman" w:eastAsia="Times New Roman" w:hAnsi="Times New Roman" w:cs="Times New Roman"/>
          <w:color w:val="000000" w:themeColor="text1"/>
          <w:sz w:val="24"/>
          <w:szCs w:val="24"/>
        </w:rPr>
        <w:t>mCRPC</w:t>
      </w:r>
      <w:proofErr w:type="spellEnd"/>
      <w:r w:rsidR="2CB3C1A7" w:rsidRPr="00E204F6">
        <w:rPr>
          <w:rFonts w:ascii="Times New Roman" w:eastAsia="Times New Roman" w:hAnsi="Times New Roman" w:cs="Times New Roman"/>
          <w:color w:val="000000" w:themeColor="text1"/>
          <w:sz w:val="24"/>
          <w:szCs w:val="24"/>
        </w:rPr>
        <w:t xml:space="preserve">), meaning the cancer progresses even though testosterone is suppressed to castrate levels </w:t>
      </w:r>
      <w:r w:rsidR="4E375689" w:rsidRPr="00E204F6">
        <w:rPr>
          <w:rFonts w:ascii="Times New Roman" w:eastAsia="Times New Roman" w:hAnsi="Times New Roman" w:cs="Times New Roman"/>
          <w:color w:val="000000" w:themeColor="text1"/>
          <w:sz w:val="24"/>
          <w:szCs w:val="24"/>
        </w:rPr>
        <w:t>(</w:t>
      </w:r>
      <w:r w:rsidR="7A3F77C4" w:rsidRPr="00E204F6">
        <w:rPr>
          <w:rFonts w:ascii="Times New Roman" w:eastAsia="Times New Roman" w:hAnsi="Times New Roman" w:cs="Times New Roman"/>
          <w:color w:val="000000" w:themeColor="text1"/>
          <w:sz w:val="24"/>
          <w:szCs w:val="24"/>
        </w:rPr>
        <w:t>De Bono</w:t>
      </w:r>
      <w:r w:rsidR="4E375689" w:rsidRPr="00E204F6">
        <w:rPr>
          <w:rFonts w:ascii="Times New Roman" w:eastAsia="Times New Roman" w:hAnsi="Times New Roman" w:cs="Times New Roman"/>
          <w:color w:val="000000" w:themeColor="text1"/>
          <w:sz w:val="24"/>
          <w:szCs w:val="24"/>
        </w:rPr>
        <w:t xml:space="preserve"> et al., 2010).</w:t>
      </w:r>
    </w:p>
    <w:p w14:paraId="26AEED31" w14:textId="34DCDFCE" w:rsidR="005B1FB3" w:rsidRPr="00E204F6" w:rsidRDefault="763D443B" w:rsidP="00B2D36F">
      <w:pPr>
        <w:spacing w:before="240" w:after="240"/>
        <w:jc w:val="both"/>
        <w:rPr>
          <w:rFonts w:ascii="Times New Roman" w:eastAsia="Times New Roman" w:hAnsi="Times New Roman" w:cs="Times New Roman"/>
          <w:color w:val="000000" w:themeColor="text1"/>
          <w:sz w:val="24"/>
          <w:szCs w:val="24"/>
        </w:rPr>
      </w:pPr>
      <w:r w:rsidRPr="00E204F6">
        <w:rPr>
          <w:rFonts w:ascii="Times New Roman" w:eastAsia="Times New Roman" w:hAnsi="Times New Roman" w:cs="Times New Roman"/>
          <w:color w:val="000000" w:themeColor="text1"/>
          <w:sz w:val="24"/>
          <w:szCs w:val="24"/>
        </w:rPr>
        <w:t>Docetaxel was the first chemotherapy</w:t>
      </w:r>
      <w:r w:rsidR="2DF962D8" w:rsidRPr="00E204F6">
        <w:rPr>
          <w:rFonts w:ascii="Times New Roman" w:eastAsia="Times New Roman" w:hAnsi="Times New Roman" w:cs="Times New Roman"/>
          <w:color w:val="000000" w:themeColor="text1"/>
          <w:sz w:val="24"/>
          <w:szCs w:val="24"/>
        </w:rPr>
        <w:t xml:space="preserve"> to demo</w:t>
      </w:r>
      <w:r w:rsidR="19F5B982" w:rsidRPr="00E204F6">
        <w:rPr>
          <w:rFonts w:ascii="Times New Roman" w:eastAsia="Times New Roman" w:hAnsi="Times New Roman" w:cs="Times New Roman"/>
          <w:color w:val="000000" w:themeColor="text1"/>
          <w:sz w:val="24"/>
          <w:szCs w:val="24"/>
        </w:rPr>
        <w:t>n</w:t>
      </w:r>
      <w:r w:rsidR="2DF962D8" w:rsidRPr="00E204F6">
        <w:rPr>
          <w:rFonts w:ascii="Times New Roman" w:eastAsia="Times New Roman" w:hAnsi="Times New Roman" w:cs="Times New Roman"/>
          <w:color w:val="000000" w:themeColor="text1"/>
          <w:sz w:val="24"/>
          <w:szCs w:val="24"/>
        </w:rPr>
        <w:t xml:space="preserve">strate an overall survival benefit in </w:t>
      </w:r>
      <w:proofErr w:type="spellStart"/>
      <w:r w:rsidR="2DF962D8" w:rsidRPr="00E204F6">
        <w:rPr>
          <w:rFonts w:ascii="Times New Roman" w:eastAsia="Times New Roman" w:hAnsi="Times New Roman" w:cs="Times New Roman"/>
          <w:color w:val="000000" w:themeColor="text1"/>
          <w:sz w:val="24"/>
          <w:szCs w:val="24"/>
        </w:rPr>
        <w:t>mCRPC</w:t>
      </w:r>
      <w:proofErr w:type="spellEnd"/>
      <w:r w:rsidR="2DF962D8" w:rsidRPr="00E204F6">
        <w:rPr>
          <w:rFonts w:ascii="Times New Roman" w:eastAsia="Times New Roman" w:hAnsi="Times New Roman" w:cs="Times New Roman"/>
          <w:color w:val="000000" w:themeColor="text1"/>
          <w:sz w:val="24"/>
          <w:szCs w:val="24"/>
        </w:rPr>
        <w:t xml:space="preserve"> and became the standard first-line chemotherapy in this setting (</w:t>
      </w:r>
      <w:r w:rsidR="7A3F77C4" w:rsidRPr="00E204F6">
        <w:rPr>
          <w:rFonts w:ascii="Times New Roman" w:eastAsia="Times New Roman" w:hAnsi="Times New Roman" w:cs="Times New Roman"/>
          <w:color w:val="000000" w:themeColor="text1"/>
          <w:sz w:val="24"/>
          <w:szCs w:val="24"/>
        </w:rPr>
        <w:t>De Bono</w:t>
      </w:r>
      <w:r w:rsidR="2DF962D8" w:rsidRPr="00E204F6">
        <w:rPr>
          <w:rFonts w:ascii="Times New Roman" w:eastAsia="Times New Roman" w:hAnsi="Times New Roman" w:cs="Times New Roman"/>
          <w:color w:val="000000" w:themeColor="text1"/>
          <w:sz w:val="24"/>
          <w:szCs w:val="24"/>
        </w:rPr>
        <w:t xml:space="preserve"> et al., 2010). However, most patients eventually experience disease progression during or after </w:t>
      </w:r>
      <w:r w:rsidR="34C45CBC" w:rsidRPr="00E204F6">
        <w:rPr>
          <w:rFonts w:ascii="Times New Roman" w:eastAsia="Times New Roman" w:hAnsi="Times New Roman" w:cs="Times New Roman"/>
          <w:color w:val="000000" w:themeColor="text1"/>
          <w:sz w:val="24"/>
          <w:szCs w:val="24"/>
        </w:rPr>
        <w:t>D</w:t>
      </w:r>
      <w:r w:rsidR="2DF962D8" w:rsidRPr="00E204F6">
        <w:rPr>
          <w:rFonts w:ascii="Times New Roman" w:eastAsia="Times New Roman" w:hAnsi="Times New Roman" w:cs="Times New Roman"/>
          <w:color w:val="000000" w:themeColor="text1"/>
          <w:sz w:val="24"/>
          <w:szCs w:val="24"/>
        </w:rPr>
        <w:t xml:space="preserve">ocetaxel treatment, creating an urgent need for effective second-line options. </w:t>
      </w:r>
      <w:r w:rsidR="00E553CF" w:rsidRPr="00E553CF">
        <w:rPr>
          <w:rFonts w:ascii="Times New Roman" w:eastAsia="Times New Roman" w:hAnsi="Times New Roman" w:cs="Times New Roman"/>
          <w:color w:val="000000" w:themeColor="text1"/>
          <w:sz w:val="24"/>
          <w:szCs w:val="24"/>
        </w:rPr>
        <w:t>Before Cabazitaxel became available, the main second-line treatment was Mitoxantrone plus Prednisone. Although Mitoxantrone provided symptomatic relief and improved pain control, it did not demonstrate a survival benefit compared to supportive care alone (De Bono et al., 2010). This means that while a second-line chemotherapy option existed, none had demonstrated the ability to extend survival in patients progressing after Docetaxel.</w:t>
      </w:r>
      <w:r w:rsidR="00E553CF">
        <w:rPr>
          <w:rFonts w:ascii="Times New Roman" w:eastAsia="Times New Roman" w:hAnsi="Times New Roman" w:cs="Times New Roman"/>
          <w:color w:val="000000" w:themeColor="text1"/>
          <w:sz w:val="24"/>
          <w:szCs w:val="24"/>
        </w:rPr>
        <w:t xml:space="preserve"> </w:t>
      </w:r>
      <w:r w:rsidR="46AAE256" w:rsidRPr="00E204F6">
        <w:rPr>
          <w:rFonts w:ascii="Times New Roman" w:eastAsia="Times New Roman" w:hAnsi="Times New Roman" w:cs="Times New Roman"/>
          <w:color w:val="000000" w:themeColor="text1"/>
          <w:sz w:val="24"/>
          <w:szCs w:val="24"/>
        </w:rPr>
        <w:t xml:space="preserve">The urgency of this unmet need has been reflected in public consultations for other </w:t>
      </w:r>
      <w:proofErr w:type="spellStart"/>
      <w:r w:rsidR="46AAE256" w:rsidRPr="00E204F6">
        <w:rPr>
          <w:rFonts w:ascii="Times New Roman" w:eastAsia="Times New Roman" w:hAnsi="Times New Roman" w:cs="Times New Roman"/>
          <w:color w:val="000000" w:themeColor="text1"/>
          <w:sz w:val="24"/>
          <w:szCs w:val="24"/>
        </w:rPr>
        <w:t>mCRPC</w:t>
      </w:r>
      <w:proofErr w:type="spellEnd"/>
      <w:r w:rsidR="46AAE256" w:rsidRPr="00E204F6">
        <w:rPr>
          <w:rFonts w:ascii="Times New Roman" w:eastAsia="Times New Roman" w:hAnsi="Times New Roman" w:cs="Times New Roman"/>
          <w:color w:val="000000" w:themeColor="text1"/>
          <w:sz w:val="24"/>
          <w:szCs w:val="24"/>
        </w:rPr>
        <w:t xml:space="preserve"> treatments, in which patients and their families submitted hundreds of letters to the National institute for Health and Care Excellence (NICE) emphasising that an</w:t>
      </w:r>
      <w:r w:rsidR="72BB311E" w:rsidRPr="00E204F6">
        <w:rPr>
          <w:rFonts w:ascii="Times New Roman" w:eastAsia="Times New Roman" w:hAnsi="Times New Roman" w:cs="Times New Roman"/>
          <w:color w:val="000000" w:themeColor="text1"/>
          <w:sz w:val="24"/>
          <w:szCs w:val="24"/>
        </w:rPr>
        <w:t>y treatment capable of extending life, even by a few months, is of critical importance to this patient population (NICE, 2012)</w:t>
      </w:r>
    </w:p>
    <w:p w14:paraId="11BE98A7" w14:textId="18C6A319" w:rsidR="005B1FB3" w:rsidRPr="00E204F6" w:rsidRDefault="77EA56D4" w:rsidP="00B2D36F">
      <w:pPr>
        <w:spacing w:before="240" w:after="240"/>
        <w:jc w:val="both"/>
        <w:rPr>
          <w:rFonts w:ascii="Times New Roman" w:eastAsia="Times New Roman" w:hAnsi="Times New Roman" w:cs="Times New Roman"/>
          <w:color w:val="FF0000"/>
          <w:sz w:val="24"/>
          <w:szCs w:val="24"/>
        </w:rPr>
      </w:pPr>
      <w:r w:rsidRPr="00E204F6">
        <w:rPr>
          <w:rFonts w:ascii="Times New Roman" w:eastAsia="Times New Roman" w:hAnsi="Times New Roman" w:cs="Times New Roman"/>
          <w:sz w:val="24"/>
          <w:szCs w:val="24"/>
        </w:rPr>
        <w:t>Cabazitaxel</w:t>
      </w:r>
      <w:r w:rsidR="78F795A4" w:rsidRPr="00E204F6">
        <w:rPr>
          <w:rFonts w:ascii="Times New Roman" w:eastAsia="Times New Roman" w:hAnsi="Times New Roman" w:cs="Times New Roman"/>
          <w:sz w:val="24"/>
          <w:szCs w:val="24"/>
        </w:rPr>
        <w:t xml:space="preserve"> </w:t>
      </w:r>
      <w:r w:rsidR="67DA934F" w:rsidRPr="00E204F6">
        <w:rPr>
          <w:rFonts w:ascii="Times New Roman" w:eastAsia="Times New Roman" w:hAnsi="Times New Roman" w:cs="Times New Roman"/>
          <w:sz w:val="24"/>
          <w:szCs w:val="24"/>
        </w:rPr>
        <w:t>is a taxane-based chemotherapy specifically developed to</w:t>
      </w:r>
      <w:r w:rsidR="78F795A4" w:rsidRPr="00E204F6">
        <w:rPr>
          <w:rFonts w:ascii="Times New Roman" w:eastAsia="Times New Roman" w:hAnsi="Times New Roman" w:cs="Times New Roman"/>
          <w:sz w:val="24"/>
          <w:szCs w:val="24"/>
        </w:rPr>
        <w:t xml:space="preserve"> overcome resistance to </w:t>
      </w:r>
      <w:r w:rsidR="109CE1AE" w:rsidRPr="00E204F6">
        <w:rPr>
          <w:rFonts w:ascii="Times New Roman" w:eastAsia="Times New Roman" w:hAnsi="Times New Roman" w:cs="Times New Roman"/>
          <w:sz w:val="24"/>
          <w:szCs w:val="24"/>
        </w:rPr>
        <w:t>D</w:t>
      </w:r>
      <w:r w:rsidR="78F795A4" w:rsidRPr="00E204F6">
        <w:rPr>
          <w:rFonts w:ascii="Times New Roman" w:eastAsia="Times New Roman" w:hAnsi="Times New Roman" w:cs="Times New Roman"/>
          <w:sz w:val="24"/>
          <w:szCs w:val="24"/>
        </w:rPr>
        <w:t>ocetaxel</w:t>
      </w:r>
      <w:r w:rsidR="6C4096F4" w:rsidRPr="00E204F6">
        <w:rPr>
          <w:rFonts w:ascii="Times New Roman" w:eastAsia="Times New Roman" w:hAnsi="Times New Roman" w:cs="Times New Roman"/>
          <w:sz w:val="24"/>
          <w:szCs w:val="24"/>
        </w:rPr>
        <w:t>. Its efficacy was established in the phase III</w:t>
      </w:r>
      <w:r w:rsidR="25820CA9" w:rsidRPr="00E204F6">
        <w:rPr>
          <w:rFonts w:ascii="Times New Roman" w:eastAsia="Times New Roman" w:hAnsi="Times New Roman" w:cs="Times New Roman"/>
          <w:sz w:val="24"/>
          <w:szCs w:val="24"/>
        </w:rPr>
        <w:t xml:space="preserve"> TROPIC trial, which randomised 7</w:t>
      </w:r>
      <w:r w:rsidR="4C53A435" w:rsidRPr="00E204F6">
        <w:rPr>
          <w:rFonts w:ascii="Times New Roman" w:eastAsia="Times New Roman" w:hAnsi="Times New Roman" w:cs="Times New Roman"/>
          <w:sz w:val="24"/>
          <w:szCs w:val="24"/>
        </w:rPr>
        <w:t>5</w:t>
      </w:r>
      <w:r w:rsidR="25820CA9" w:rsidRPr="00E204F6">
        <w:rPr>
          <w:rFonts w:ascii="Times New Roman" w:eastAsia="Times New Roman" w:hAnsi="Times New Roman" w:cs="Times New Roman"/>
          <w:sz w:val="24"/>
          <w:szCs w:val="24"/>
        </w:rPr>
        <w:t xml:space="preserve">5 men with </w:t>
      </w:r>
      <w:proofErr w:type="spellStart"/>
      <w:r w:rsidR="25820CA9" w:rsidRPr="00E204F6">
        <w:rPr>
          <w:rFonts w:ascii="Times New Roman" w:eastAsia="Times New Roman" w:hAnsi="Times New Roman" w:cs="Times New Roman"/>
          <w:sz w:val="24"/>
          <w:szCs w:val="24"/>
        </w:rPr>
        <w:t>m</w:t>
      </w:r>
      <w:r w:rsidR="75ECB5A0" w:rsidRPr="00E204F6">
        <w:rPr>
          <w:rFonts w:ascii="Times New Roman" w:eastAsia="Times New Roman" w:hAnsi="Times New Roman" w:cs="Times New Roman"/>
          <w:sz w:val="24"/>
          <w:szCs w:val="24"/>
        </w:rPr>
        <w:t>CRPC</w:t>
      </w:r>
      <w:proofErr w:type="spellEnd"/>
      <w:r w:rsidR="75ECB5A0" w:rsidRPr="00E204F6">
        <w:rPr>
          <w:rFonts w:ascii="Times New Roman" w:eastAsia="Times New Roman" w:hAnsi="Times New Roman" w:cs="Times New Roman"/>
          <w:sz w:val="24"/>
          <w:szCs w:val="24"/>
        </w:rPr>
        <w:t xml:space="preserve"> progressing after Docetaxel to receive either </w:t>
      </w:r>
      <w:r w:rsidRPr="00E204F6">
        <w:rPr>
          <w:rFonts w:ascii="Times New Roman" w:eastAsia="Times New Roman" w:hAnsi="Times New Roman" w:cs="Times New Roman"/>
          <w:sz w:val="24"/>
          <w:szCs w:val="24"/>
        </w:rPr>
        <w:t>Cabazitaxel</w:t>
      </w:r>
      <w:r w:rsidR="75ECB5A0" w:rsidRPr="00E204F6">
        <w:rPr>
          <w:rFonts w:ascii="Times New Roman" w:eastAsia="Times New Roman" w:hAnsi="Times New Roman" w:cs="Times New Roman"/>
          <w:sz w:val="24"/>
          <w:szCs w:val="24"/>
        </w:rPr>
        <w:t xml:space="preserve"> plus Prednisone or </w:t>
      </w:r>
      <w:r w:rsidR="2E1C6553" w:rsidRPr="00E204F6">
        <w:rPr>
          <w:rFonts w:ascii="Times New Roman" w:eastAsia="Times New Roman" w:hAnsi="Times New Roman" w:cs="Times New Roman"/>
          <w:sz w:val="24"/>
          <w:szCs w:val="24"/>
        </w:rPr>
        <w:t>Mitoxantrone</w:t>
      </w:r>
      <w:r w:rsidR="75ECB5A0" w:rsidRPr="00E204F6">
        <w:rPr>
          <w:rFonts w:ascii="Times New Roman" w:eastAsia="Times New Roman" w:hAnsi="Times New Roman" w:cs="Times New Roman"/>
          <w:sz w:val="24"/>
          <w:szCs w:val="24"/>
        </w:rPr>
        <w:t xml:space="preserve"> plus Prednisone </w:t>
      </w:r>
      <w:r w:rsidR="78F795A4" w:rsidRPr="00E204F6">
        <w:rPr>
          <w:rFonts w:ascii="Times New Roman" w:eastAsia="Times New Roman" w:hAnsi="Times New Roman" w:cs="Times New Roman"/>
          <w:sz w:val="24"/>
          <w:szCs w:val="24"/>
        </w:rPr>
        <w:t>(</w:t>
      </w:r>
      <w:r w:rsidR="7A3F77C4" w:rsidRPr="00E204F6">
        <w:rPr>
          <w:rFonts w:ascii="Times New Roman" w:eastAsia="Times New Roman" w:hAnsi="Times New Roman" w:cs="Times New Roman"/>
          <w:sz w:val="24"/>
          <w:szCs w:val="24"/>
        </w:rPr>
        <w:t>De Bono</w:t>
      </w:r>
      <w:r w:rsidR="78F795A4" w:rsidRPr="00E204F6">
        <w:rPr>
          <w:rFonts w:ascii="Times New Roman" w:eastAsia="Times New Roman" w:hAnsi="Times New Roman" w:cs="Times New Roman"/>
          <w:sz w:val="24"/>
          <w:szCs w:val="24"/>
        </w:rPr>
        <w:t xml:space="preserve"> et al., 2010). </w:t>
      </w:r>
      <w:r w:rsidRPr="00E204F6">
        <w:rPr>
          <w:rFonts w:ascii="Times New Roman" w:eastAsia="Times New Roman" w:hAnsi="Times New Roman" w:cs="Times New Roman"/>
          <w:sz w:val="24"/>
          <w:szCs w:val="24"/>
        </w:rPr>
        <w:t>Cabazitaxel</w:t>
      </w:r>
      <w:r w:rsidR="78F795A4" w:rsidRPr="00E204F6">
        <w:rPr>
          <w:rFonts w:ascii="Times New Roman" w:eastAsia="Times New Roman" w:hAnsi="Times New Roman" w:cs="Times New Roman"/>
          <w:sz w:val="24"/>
          <w:szCs w:val="24"/>
        </w:rPr>
        <w:t xml:space="preserve"> significantly improved median overall survival</w:t>
      </w:r>
      <w:r w:rsidR="675BAF8D" w:rsidRPr="00E204F6">
        <w:rPr>
          <w:rFonts w:ascii="Times New Roman" w:eastAsia="Times New Roman" w:hAnsi="Times New Roman" w:cs="Times New Roman"/>
          <w:sz w:val="24"/>
          <w:szCs w:val="24"/>
        </w:rPr>
        <w:t xml:space="preserve"> </w:t>
      </w:r>
      <w:r w:rsidR="49B91BA2" w:rsidRPr="00E204F6">
        <w:rPr>
          <w:rFonts w:ascii="Times New Roman" w:eastAsia="Times New Roman" w:hAnsi="Times New Roman" w:cs="Times New Roman"/>
          <w:sz w:val="24"/>
          <w:szCs w:val="24"/>
        </w:rPr>
        <w:t xml:space="preserve">compared to </w:t>
      </w:r>
      <w:r w:rsidR="2E1C6553" w:rsidRPr="00E204F6">
        <w:rPr>
          <w:rFonts w:ascii="Times New Roman" w:eastAsia="Times New Roman" w:hAnsi="Times New Roman" w:cs="Times New Roman"/>
          <w:sz w:val="24"/>
          <w:szCs w:val="24"/>
        </w:rPr>
        <w:t>Mitoxantrone</w:t>
      </w:r>
      <w:r w:rsidR="78F795A4" w:rsidRPr="00E204F6">
        <w:rPr>
          <w:rFonts w:ascii="Times New Roman" w:eastAsia="Times New Roman" w:hAnsi="Times New Roman" w:cs="Times New Roman"/>
          <w:sz w:val="24"/>
          <w:szCs w:val="24"/>
        </w:rPr>
        <w:t xml:space="preserve"> (15.1 months vs. 12.7 months), corresponding to a 30% reduction in the risk of death. Progression-free survival and tumour response rates were also superior in the </w:t>
      </w:r>
      <w:r w:rsidRPr="00E204F6">
        <w:rPr>
          <w:rFonts w:ascii="Times New Roman" w:eastAsia="Times New Roman" w:hAnsi="Times New Roman" w:cs="Times New Roman"/>
          <w:sz w:val="24"/>
          <w:szCs w:val="24"/>
        </w:rPr>
        <w:t>Cabazitaxel</w:t>
      </w:r>
      <w:r w:rsidR="78F795A4" w:rsidRPr="00E204F6">
        <w:rPr>
          <w:rFonts w:ascii="Times New Roman" w:eastAsia="Times New Roman" w:hAnsi="Times New Roman" w:cs="Times New Roman"/>
          <w:sz w:val="24"/>
          <w:szCs w:val="24"/>
        </w:rPr>
        <w:t xml:space="preserve"> group (</w:t>
      </w:r>
      <w:r w:rsidR="7A3F77C4" w:rsidRPr="00E204F6">
        <w:rPr>
          <w:rFonts w:ascii="Times New Roman" w:eastAsia="Times New Roman" w:hAnsi="Times New Roman" w:cs="Times New Roman"/>
          <w:sz w:val="24"/>
          <w:szCs w:val="24"/>
        </w:rPr>
        <w:t>De Bono</w:t>
      </w:r>
      <w:r w:rsidR="78F795A4" w:rsidRPr="00E204F6">
        <w:rPr>
          <w:rFonts w:ascii="Times New Roman" w:eastAsia="Times New Roman" w:hAnsi="Times New Roman" w:cs="Times New Roman"/>
          <w:sz w:val="24"/>
          <w:szCs w:val="24"/>
        </w:rPr>
        <w:t xml:space="preserve"> et al., 2010). </w:t>
      </w:r>
      <w:r w:rsidR="4B4CDC56" w:rsidRPr="00E204F6">
        <w:rPr>
          <w:rFonts w:ascii="Times New Roman" w:eastAsia="Times New Roman" w:hAnsi="Times New Roman" w:cs="Times New Roman"/>
          <w:sz w:val="24"/>
          <w:szCs w:val="24"/>
        </w:rPr>
        <w:t>A</w:t>
      </w:r>
      <w:r w:rsidR="5C01D117" w:rsidRPr="00E204F6">
        <w:rPr>
          <w:rFonts w:ascii="Times New Roman" w:eastAsia="Times New Roman" w:hAnsi="Times New Roman" w:cs="Times New Roman"/>
          <w:sz w:val="24"/>
          <w:szCs w:val="24"/>
        </w:rPr>
        <w:t xml:space="preserve"> follow-up</w:t>
      </w:r>
      <w:r w:rsidR="78F795A4" w:rsidRPr="00E204F6">
        <w:rPr>
          <w:rFonts w:ascii="Times New Roman" w:eastAsia="Times New Roman" w:hAnsi="Times New Roman" w:cs="Times New Roman"/>
          <w:sz w:val="24"/>
          <w:szCs w:val="24"/>
        </w:rPr>
        <w:t xml:space="preserve"> </w:t>
      </w:r>
      <w:r w:rsidR="78F795A4" w:rsidRPr="00E204F6">
        <w:rPr>
          <w:rFonts w:ascii="Times New Roman" w:eastAsia="Times New Roman" w:hAnsi="Times New Roman" w:cs="Times New Roman"/>
          <w:sz w:val="24"/>
          <w:szCs w:val="24"/>
        </w:rPr>
        <w:lastRenderedPageBreak/>
        <w:t xml:space="preserve">of the TROPIC </w:t>
      </w:r>
      <w:r w:rsidR="0D9E30CA" w:rsidRPr="00E204F6">
        <w:rPr>
          <w:rFonts w:ascii="Times New Roman" w:eastAsia="Times New Roman" w:hAnsi="Times New Roman" w:cs="Times New Roman"/>
          <w:sz w:val="24"/>
          <w:szCs w:val="24"/>
        </w:rPr>
        <w:t>trial</w:t>
      </w:r>
      <w:r w:rsidR="031A0A45" w:rsidRPr="00E204F6">
        <w:rPr>
          <w:rFonts w:ascii="Times New Roman" w:eastAsia="Times New Roman" w:hAnsi="Times New Roman" w:cs="Times New Roman"/>
          <w:sz w:val="24"/>
          <w:szCs w:val="24"/>
        </w:rPr>
        <w:t xml:space="preserve">, analysing the long-term outcomes, </w:t>
      </w:r>
      <w:r w:rsidR="78F795A4" w:rsidRPr="00E204F6">
        <w:rPr>
          <w:rFonts w:ascii="Times New Roman" w:eastAsia="Times New Roman" w:hAnsi="Times New Roman" w:cs="Times New Roman"/>
          <w:sz w:val="24"/>
          <w:szCs w:val="24"/>
        </w:rPr>
        <w:t xml:space="preserve">demonstrated that a greater proportion of patients treated with </w:t>
      </w:r>
      <w:r w:rsidRPr="00E204F6">
        <w:rPr>
          <w:rFonts w:ascii="Times New Roman" w:eastAsia="Times New Roman" w:hAnsi="Times New Roman" w:cs="Times New Roman"/>
          <w:sz w:val="24"/>
          <w:szCs w:val="24"/>
        </w:rPr>
        <w:t>Cabazitaxel</w:t>
      </w:r>
      <w:r w:rsidR="78F795A4" w:rsidRPr="00E204F6">
        <w:rPr>
          <w:rFonts w:ascii="Times New Roman" w:eastAsia="Times New Roman" w:hAnsi="Times New Roman" w:cs="Times New Roman"/>
          <w:sz w:val="24"/>
          <w:szCs w:val="24"/>
        </w:rPr>
        <w:t xml:space="preserve"> were alive a</w:t>
      </w:r>
      <w:r w:rsidR="18A0789E" w:rsidRPr="00E204F6">
        <w:rPr>
          <w:rFonts w:ascii="Times New Roman" w:eastAsia="Times New Roman" w:hAnsi="Times New Roman" w:cs="Times New Roman"/>
          <w:sz w:val="24"/>
          <w:szCs w:val="24"/>
        </w:rPr>
        <w:t>fter</w:t>
      </w:r>
      <w:r w:rsidR="78F795A4" w:rsidRPr="00E204F6">
        <w:rPr>
          <w:rFonts w:ascii="Times New Roman" w:eastAsia="Times New Roman" w:hAnsi="Times New Roman" w:cs="Times New Roman"/>
          <w:sz w:val="24"/>
          <w:szCs w:val="24"/>
        </w:rPr>
        <w:t xml:space="preserve"> two years </w:t>
      </w:r>
      <w:r w:rsidR="46157663" w:rsidRPr="00E204F6">
        <w:rPr>
          <w:rFonts w:ascii="Times New Roman" w:eastAsia="Times New Roman" w:hAnsi="Times New Roman" w:cs="Times New Roman"/>
          <w:sz w:val="24"/>
          <w:szCs w:val="24"/>
        </w:rPr>
        <w:t>compared to</w:t>
      </w:r>
      <w:r w:rsidR="78F795A4" w:rsidRPr="00E204F6">
        <w:rPr>
          <w:rFonts w:ascii="Times New Roman" w:eastAsia="Times New Roman" w:hAnsi="Times New Roman" w:cs="Times New Roman"/>
          <w:sz w:val="24"/>
          <w:szCs w:val="24"/>
        </w:rPr>
        <w:t xml:space="preserve"> </w:t>
      </w:r>
      <w:r w:rsidR="2E1C6553" w:rsidRPr="00E204F6">
        <w:rPr>
          <w:rFonts w:ascii="Times New Roman" w:eastAsia="Times New Roman" w:hAnsi="Times New Roman" w:cs="Times New Roman"/>
          <w:sz w:val="24"/>
          <w:szCs w:val="24"/>
        </w:rPr>
        <w:t>Mitoxantrone</w:t>
      </w:r>
      <w:r w:rsidR="78F795A4" w:rsidRPr="00E204F6">
        <w:rPr>
          <w:rFonts w:ascii="Times New Roman" w:eastAsia="Times New Roman" w:hAnsi="Times New Roman" w:cs="Times New Roman"/>
          <w:sz w:val="24"/>
          <w:szCs w:val="24"/>
        </w:rPr>
        <w:t xml:space="preserve"> (15.9% vs. 8.2%) and that pain control and functional status were maintained during treatment (Bahl et al., 2013). These findings established </w:t>
      </w:r>
      <w:r w:rsidRPr="00E204F6">
        <w:rPr>
          <w:rFonts w:ascii="Times New Roman" w:eastAsia="Times New Roman" w:hAnsi="Times New Roman" w:cs="Times New Roman"/>
          <w:sz w:val="24"/>
          <w:szCs w:val="24"/>
        </w:rPr>
        <w:t>Cabazitaxel</w:t>
      </w:r>
      <w:r w:rsidR="78F795A4" w:rsidRPr="00E204F6">
        <w:rPr>
          <w:rFonts w:ascii="Times New Roman" w:eastAsia="Times New Roman" w:hAnsi="Times New Roman" w:cs="Times New Roman"/>
          <w:sz w:val="24"/>
          <w:szCs w:val="24"/>
        </w:rPr>
        <w:t xml:space="preserve"> as the first second-line chemotherapy to provide a survival benefit in </w:t>
      </w:r>
      <w:proofErr w:type="spellStart"/>
      <w:r w:rsidR="78F795A4" w:rsidRPr="00E204F6">
        <w:rPr>
          <w:rFonts w:ascii="Times New Roman" w:eastAsia="Times New Roman" w:hAnsi="Times New Roman" w:cs="Times New Roman"/>
          <w:sz w:val="24"/>
          <w:szCs w:val="24"/>
        </w:rPr>
        <w:t>mCRPC</w:t>
      </w:r>
      <w:proofErr w:type="spellEnd"/>
      <w:r w:rsidR="78F795A4" w:rsidRPr="00E204F6">
        <w:rPr>
          <w:rFonts w:ascii="Times New Roman" w:eastAsia="Times New Roman" w:hAnsi="Times New Roman" w:cs="Times New Roman"/>
          <w:sz w:val="24"/>
          <w:szCs w:val="24"/>
        </w:rPr>
        <w:t xml:space="preserve"> after docetaxel failure.</w:t>
      </w:r>
    </w:p>
    <w:p w14:paraId="7E7075E2" w14:textId="42FEC6DB" w:rsidR="2048F25E" w:rsidRPr="00E204F6" w:rsidRDefault="2048F25E" w:rsidP="76C0B922">
      <w:pPr>
        <w:spacing w:before="240" w:after="240"/>
        <w:jc w:val="both"/>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Despite this clinically meaningful survival benefit, </w:t>
      </w:r>
      <w:r w:rsidR="77EA56D4" w:rsidRPr="00E204F6">
        <w:rPr>
          <w:rFonts w:ascii="Times New Roman" w:eastAsia="Times New Roman" w:hAnsi="Times New Roman" w:cs="Times New Roman"/>
          <w:sz w:val="24"/>
          <w:szCs w:val="24"/>
        </w:rPr>
        <w:t>Cabazitaxel</w:t>
      </w:r>
      <w:r w:rsidRPr="00E204F6">
        <w:rPr>
          <w:rFonts w:ascii="Times New Roman" w:eastAsia="Times New Roman" w:hAnsi="Times New Roman" w:cs="Times New Roman"/>
          <w:sz w:val="24"/>
          <w:szCs w:val="24"/>
        </w:rPr>
        <w:t xml:space="preserve"> comes at a substantially higher </w:t>
      </w:r>
      <w:r w:rsidR="5BCA3586" w:rsidRPr="00E204F6">
        <w:rPr>
          <w:rFonts w:ascii="Times New Roman" w:eastAsia="Times New Roman" w:hAnsi="Times New Roman" w:cs="Times New Roman"/>
          <w:sz w:val="24"/>
          <w:szCs w:val="24"/>
        </w:rPr>
        <w:t>list price than</w:t>
      </w:r>
      <w:r w:rsidRPr="00E204F6">
        <w:rPr>
          <w:rFonts w:ascii="Times New Roman" w:eastAsia="Times New Roman" w:hAnsi="Times New Roman" w:cs="Times New Roman"/>
          <w:sz w:val="24"/>
          <w:szCs w:val="24"/>
        </w:rPr>
        <w:t xml:space="preserve"> </w:t>
      </w:r>
      <w:r w:rsidR="2E1C6553" w:rsidRPr="00E204F6">
        <w:rPr>
          <w:rFonts w:ascii="Times New Roman" w:eastAsia="Times New Roman" w:hAnsi="Times New Roman" w:cs="Times New Roman"/>
          <w:sz w:val="24"/>
          <w:szCs w:val="24"/>
        </w:rPr>
        <w:t>Mitoxantrone</w:t>
      </w:r>
      <w:r w:rsidRPr="00E204F6">
        <w:rPr>
          <w:rFonts w:ascii="Times New Roman" w:eastAsia="Times New Roman" w:hAnsi="Times New Roman" w:cs="Times New Roman"/>
          <w:sz w:val="24"/>
          <w:szCs w:val="24"/>
        </w:rPr>
        <w:t xml:space="preserve"> and </w:t>
      </w:r>
      <w:r w:rsidR="2D33E1A7" w:rsidRPr="00E204F6">
        <w:rPr>
          <w:rFonts w:ascii="Times New Roman" w:eastAsia="Times New Roman" w:hAnsi="Times New Roman" w:cs="Times New Roman"/>
          <w:sz w:val="24"/>
          <w:szCs w:val="24"/>
        </w:rPr>
        <w:t xml:space="preserve">it </w:t>
      </w:r>
      <w:r w:rsidRPr="00E204F6">
        <w:rPr>
          <w:rFonts w:ascii="Times New Roman" w:eastAsia="Times New Roman" w:hAnsi="Times New Roman" w:cs="Times New Roman"/>
          <w:sz w:val="24"/>
          <w:szCs w:val="24"/>
        </w:rPr>
        <w:t xml:space="preserve">is associated with more frequent severe </w:t>
      </w:r>
      <w:r w:rsidR="410C6080" w:rsidRPr="00E204F6">
        <w:rPr>
          <w:rFonts w:ascii="Times New Roman" w:eastAsia="Times New Roman" w:hAnsi="Times New Roman" w:cs="Times New Roman"/>
          <w:sz w:val="24"/>
          <w:szCs w:val="24"/>
        </w:rPr>
        <w:t xml:space="preserve">adverse events (AEs) that may require additional healthcare resources (De Bono et al., 2010). </w:t>
      </w:r>
      <w:r w:rsidR="58118AC6" w:rsidRPr="00E204F6">
        <w:rPr>
          <w:rFonts w:ascii="Times New Roman" w:eastAsia="Times New Roman" w:hAnsi="Times New Roman" w:cs="Times New Roman"/>
          <w:sz w:val="24"/>
          <w:szCs w:val="24"/>
        </w:rPr>
        <w:t xml:space="preserve">Although the actual procurement prices paid by the NHS are lower than the list prices, the total treatment costs of </w:t>
      </w:r>
      <w:r w:rsidR="77EA56D4" w:rsidRPr="00E204F6">
        <w:rPr>
          <w:rFonts w:ascii="Times New Roman" w:eastAsia="Times New Roman" w:hAnsi="Times New Roman" w:cs="Times New Roman"/>
          <w:sz w:val="24"/>
          <w:szCs w:val="24"/>
        </w:rPr>
        <w:t>Cabazitaxel</w:t>
      </w:r>
      <w:r w:rsidR="58118AC6" w:rsidRPr="00E204F6">
        <w:rPr>
          <w:rFonts w:ascii="Times New Roman" w:eastAsia="Times New Roman" w:hAnsi="Times New Roman" w:cs="Times New Roman"/>
          <w:sz w:val="24"/>
          <w:szCs w:val="24"/>
        </w:rPr>
        <w:t xml:space="preserve"> remain higher due to additional premedication, administration, and healthcare resource use requirements.</w:t>
      </w:r>
      <w:r w:rsidR="3830BF5C" w:rsidRPr="00E204F6">
        <w:rPr>
          <w:rFonts w:ascii="Times New Roman" w:eastAsia="Times New Roman" w:hAnsi="Times New Roman" w:cs="Times New Roman"/>
          <w:sz w:val="24"/>
          <w:szCs w:val="24"/>
        </w:rPr>
        <w:t xml:space="preserve"> </w:t>
      </w:r>
      <w:r w:rsidR="04381502" w:rsidRPr="00E204F6">
        <w:rPr>
          <w:rFonts w:ascii="Times New Roman" w:eastAsia="Times New Roman" w:hAnsi="Times New Roman" w:cs="Times New Roman"/>
          <w:sz w:val="24"/>
          <w:szCs w:val="24"/>
        </w:rPr>
        <w:t>Given th</w:t>
      </w:r>
      <w:r w:rsidR="4105D58E" w:rsidRPr="00E204F6">
        <w:rPr>
          <w:rFonts w:ascii="Times New Roman" w:eastAsia="Times New Roman" w:hAnsi="Times New Roman" w:cs="Times New Roman"/>
          <w:sz w:val="24"/>
          <w:szCs w:val="24"/>
        </w:rPr>
        <w:t>at</w:t>
      </w:r>
      <w:r w:rsidR="0532DE71" w:rsidRPr="00E204F6">
        <w:rPr>
          <w:rFonts w:ascii="Times New Roman" w:eastAsia="Times New Roman" w:hAnsi="Times New Roman" w:cs="Times New Roman"/>
          <w:sz w:val="24"/>
          <w:szCs w:val="24"/>
        </w:rPr>
        <w:t xml:space="preserve"> </w:t>
      </w:r>
      <w:r w:rsidR="77EA56D4" w:rsidRPr="00E204F6">
        <w:rPr>
          <w:rFonts w:ascii="Times New Roman" w:eastAsia="Times New Roman" w:hAnsi="Times New Roman" w:cs="Times New Roman"/>
          <w:sz w:val="24"/>
          <w:szCs w:val="24"/>
        </w:rPr>
        <w:t>Cabazitaxel</w:t>
      </w:r>
      <w:r w:rsidR="04381502" w:rsidRPr="00E204F6">
        <w:rPr>
          <w:rFonts w:ascii="Times New Roman" w:eastAsia="Times New Roman" w:hAnsi="Times New Roman" w:cs="Times New Roman"/>
          <w:sz w:val="24"/>
          <w:szCs w:val="24"/>
        </w:rPr>
        <w:t xml:space="preserve"> </w:t>
      </w:r>
      <w:r w:rsidR="0F33B589" w:rsidRPr="00E204F6">
        <w:rPr>
          <w:rFonts w:ascii="Times New Roman" w:eastAsia="Times New Roman" w:hAnsi="Times New Roman" w:cs="Times New Roman"/>
          <w:sz w:val="24"/>
          <w:szCs w:val="24"/>
        </w:rPr>
        <w:t xml:space="preserve">is associated with both higher drug costs and higher resource use, the question arises whether the additional health benefits justify these higher costs. </w:t>
      </w:r>
    </w:p>
    <w:p w14:paraId="6E5E3921" w14:textId="0834563A" w:rsidR="382901B3" w:rsidRPr="00E204F6" w:rsidRDefault="382901B3" w:rsidP="76C0B922">
      <w:pPr>
        <w:spacing w:before="240" w:after="240"/>
        <w:jc w:val="both"/>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Within the </w:t>
      </w:r>
      <w:r w:rsidR="77B0CB22" w:rsidRPr="00E204F6">
        <w:rPr>
          <w:rFonts w:ascii="Times New Roman" w:eastAsia="Times New Roman" w:hAnsi="Times New Roman" w:cs="Times New Roman"/>
          <w:sz w:val="24"/>
          <w:szCs w:val="24"/>
        </w:rPr>
        <w:t>National Health Service</w:t>
      </w:r>
      <w:r w:rsidR="7DAE4E80" w:rsidRPr="00E204F6">
        <w:rPr>
          <w:rFonts w:ascii="Times New Roman" w:eastAsia="Times New Roman" w:hAnsi="Times New Roman" w:cs="Times New Roman"/>
          <w:sz w:val="24"/>
          <w:szCs w:val="24"/>
        </w:rPr>
        <w:t xml:space="preserve"> </w:t>
      </w:r>
      <w:r w:rsidR="218BE189" w:rsidRPr="00E204F6">
        <w:rPr>
          <w:rFonts w:ascii="Times New Roman" w:eastAsia="Times New Roman" w:hAnsi="Times New Roman" w:cs="Times New Roman"/>
          <w:sz w:val="24"/>
          <w:szCs w:val="24"/>
        </w:rPr>
        <w:t>(</w:t>
      </w:r>
      <w:r w:rsidRPr="00E204F6">
        <w:rPr>
          <w:rFonts w:ascii="Times New Roman" w:eastAsia="Times New Roman" w:hAnsi="Times New Roman" w:cs="Times New Roman"/>
          <w:sz w:val="24"/>
          <w:szCs w:val="24"/>
        </w:rPr>
        <w:t>NHS</w:t>
      </w:r>
      <w:r w:rsidR="1F3B241F" w:rsidRPr="00E204F6">
        <w:rPr>
          <w:rFonts w:ascii="Times New Roman" w:eastAsia="Times New Roman" w:hAnsi="Times New Roman" w:cs="Times New Roman"/>
          <w:sz w:val="24"/>
          <w:szCs w:val="24"/>
        </w:rPr>
        <w:t>)</w:t>
      </w:r>
      <w:r w:rsidRPr="00E204F6">
        <w:rPr>
          <w:rFonts w:ascii="Times New Roman" w:eastAsia="Times New Roman" w:hAnsi="Times New Roman" w:cs="Times New Roman"/>
          <w:sz w:val="24"/>
          <w:szCs w:val="24"/>
        </w:rPr>
        <w:t>, healthcare budgets are finite,</w:t>
      </w:r>
      <w:r w:rsidR="410C6080" w:rsidRPr="00E204F6">
        <w:rPr>
          <w:rFonts w:ascii="Times New Roman" w:eastAsia="Times New Roman" w:hAnsi="Times New Roman" w:cs="Times New Roman"/>
          <w:sz w:val="24"/>
          <w:szCs w:val="24"/>
        </w:rPr>
        <w:t xml:space="preserve"> and resources allocated to one treatmen</w:t>
      </w:r>
      <w:r w:rsidR="7188DDED" w:rsidRPr="00E204F6">
        <w:rPr>
          <w:rFonts w:ascii="Times New Roman" w:eastAsia="Times New Roman" w:hAnsi="Times New Roman" w:cs="Times New Roman"/>
          <w:sz w:val="24"/>
          <w:szCs w:val="24"/>
        </w:rPr>
        <w:t>t are no longer available for other patients and interventions. Decision-makers therefore need to evaluate not only whether a treatment is clinically effective, but also whether its additional health benefits justify its additional costs. A cost-</w:t>
      </w:r>
      <w:r w:rsidR="3500817A" w:rsidRPr="00E204F6">
        <w:rPr>
          <w:rFonts w:ascii="Times New Roman" w:eastAsia="Times New Roman" w:hAnsi="Times New Roman" w:cs="Times New Roman"/>
          <w:sz w:val="24"/>
          <w:szCs w:val="24"/>
        </w:rPr>
        <w:t xml:space="preserve">utility </w:t>
      </w:r>
      <w:r w:rsidR="7188DDED" w:rsidRPr="00E204F6">
        <w:rPr>
          <w:rFonts w:ascii="Times New Roman" w:eastAsia="Times New Roman" w:hAnsi="Times New Roman" w:cs="Times New Roman"/>
          <w:sz w:val="24"/>
          <w:szCs w:val="24"/>
        </w:rPr>
        <w:t>analysis (C</w:t>
      </w:r>
      <w:r w:rsidR="15BEFA10" w:rsidRPr="00E204F6">
        <w:rPr>
          <w:rFonts w:ascii="Times New Roman" w:eastAsia="Times New Roman" w:hAnsi="Times New Roman" w:cs="Times New Roman"/>
          <w:sz w:val="24"/>
          <w:szCs w:val="24"/>
        </w:rPr>
        <w:t>U</w:t>
      </w:r>
      <w:r w:rsidR="7188DDED" w:rsidRPr="00E204F6">
        <w:rPr>
          <w:rFonts w:ascii="Times New Roman" w:eastAsia="Times New Roman" w:hAnsi="Times New Roman" w:cs="Times New Roman"/>
          <w:sz w:val="24"/>
          <w:szCs w:val="24"/>
        </w:rPr>
        <w:t>A) provides a structur</w:t>
      </w:r>
      <w:r w:rsidR="1504AE13" w:rsidRPr="00E204F6">
        <w:rPr>
          <w:rFonts w:ascii="Times New Roman" w:eastAsia="Times New Roman" w:hAnsi="Times New Roman" w:cs="Times New Roman"/>
          <w:sz w:val="24"/>
          <w:szCs w:val="24"/>
        </w:rPr>
        <w:t>ed</w:t>
      </w:r>
      <w:r w:rsidR="7188DDED" w:rsidRPr="00E204F6">
        <w:rPr>
          <w:rFonts w:ascii="Times New Roman" w:eastAsia="Times New Roman" w:hAnsi="Times New Roman" w:cs="Times New Roman"/>
          <w:sz w:val="24"/>
          <w:szCs w:val="24"/>
        </w:rPr>
        <w:t xml:space="preserve"> framework for this comparison by quantifying </w:t>
      </w:r>
      <w:r w:rsidR="4A7070E4" w:rsidRPr="00E204F6">
        <w:rPr>
          <w:rFonts w:ascii="Times New Roman" w:eastAsia="Times New Roman" w:hAnsi="Times New Roman" w:cs="Times New Roman"/>
          <w:sz w:val="24"/>
          <w:szCs w:val="24"/>
        </w:rPr>
        <w:t xml:space="preserve">the trade-off between incremental costs and incremental health outcomes, typically expressed as an incremental cost-effectiveness ratio (ICER) in terms of cost per quality-adjusted life year (QALY) gained </w:t>
      </w:r>
      <w:r w:rsidR="2D63E0C3" w:rsidRPr="00E204F6">
        <w:rPr>
          <w:rFonts w:ascii="Times New Roman" w:eastAsia="Times New Roman" w:hAnsi="Times New Roman" w:cs="Times New Roman"/>
          <w:sz w:val="24"/>
          <w:szCs w:val="24"/>
        </w:rPr>
        <w:t>(Drummond et al., 2015).</w:t>
      </w:r>
    </w:p>
    <w:p w14:paraId="526EB980" w14:textId="10DC100F" w:rsidR="27AE71C5" w:rsidRPr="00E204F6" w:rsidRDefault="27AE71C5" w:rsidP="76C0B922">
      <w:pPr>
        <w:spacing w:before="240" w:after="240"/>
        <w:jc w:val="both"/>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To date, no independent cost-effectiveness analysis of </w:t>
      </w:r>
      <w:r w:rsidR="77EA56D4" w:rsidRPr="00E204F6">
        <w:rPr>
          <w:rFonts w:ascii="Times New Roman" w:eastAsia="Times New Roman" w:hAnsi="Times New Roman" w:cs="Times New Roman"/>
          <w:sz w:val="24"/>
          <w:szCs w:val="24"/>
        </w:rPr>
        <w:t>Cabazitaxel</w:t>
      </w:r>
      <w:r w:rsidRPr="00E204F6">
        <w:rPr>
          <w:rFonts w:ascii="Times New Roman" w:eastAsia="Times New Roman" w:hAnsi="Times New Roman" w:cs="Times New Roman"/>
          <w:sz w:val="24"/>
          <w:szCs w:val="24"/>
        </w:rPr>
        <w:t xml:space="preserve"> versus </w:t>
      </w:r>
      <w:r w:rsidR="2E1C6553" w:rsidRPr="00E204F6">
        <w:rPr>
          <w:rFonts w:ascii="Times New Roman" w:eastAsia="Times New Roman" w:hAnsi="Times New Roman" w:cs="Times New Roman"/>
          <w:sz w:val="24"/>
          <w:szCs w:val="24"/>
        </w:rPr>
        <w:t>Mitoxantrone</w:t>
      </w:r>
      <w:r w:rsidRPr="00E204F6">
        <w:rPr>
          <w:rFonts w:ascii="Times New Roman" w:eastAsia="Times New Roman" w:hAnsi="Times New Roman" w:cs="Times New Roman"/>
          <w:sz w:val="24"/>
          <w:szCs w:val="24"/>
        </w:rPr>
        <w:t xml:space="preserve"> has been conducted from </w:t>
      </w:r>
      <w:r w:rsidR="64A4AEF7" w:rsidRPr="00E204F6">
        <w:rPr>
          <w:rFonts w:ascii="Times New Roman" w:eastAsia="Times New Roman" w:hAnsi="Times New Roman" w:cs="Times New Roman"/>
          <w:sz w:val="24"/>
          <w:szCs w:val="24"/>
        </w:rPr>
        <w:t>the</w:t>
      </w:r>
      <w:r w:rsidRPr="00E204F6">
        <w:rPr>
          <w:rFonts w:ascii="Times New Roman" w:eastAsia="Times New Roman" w:hAnsi="Times New Roman" w:cs="Times New Roman"/>
          <w:sz w:val="24"/>
          <w:szCs w:val="24"/>
        </w:rPr>
        <w:t xml:space="preserve"> NHS perspective.</w:t>
      </w:r>
      <w:r w:rsidR="1E6C4783" w:rsidRPr="00E204F6">
        <w:rPr>
          <w:rFonts w:ascii="Times New Roman" w:eastAsia="Times New Roman" w:hAnsi="Times New Roman" w:cs="Times New Roman"/>
          <w:sz w:val="24"/>
          <w:szCs w:val="24"/>
        </w:rPr>
        <w:t xml:space="preserve"> </w:t>
      </w:r>
      <w:r w:rsidR="742B6DA0" w:rsidRPr="00E204F6">
        <w:rPr>
          <w:rFonts w:ascii="Times New Roman" w:eastAsia="Times New Roman" w:hAnsi="Times New Roman" w:cs="Times New Roman"/>
          <w:sz w:val="24"/>
          <w:szCs w:val="24"/>
        </w:rPr>
        <w:t>Given the substantial cost difference between the two treatments and the clinical significance of the survival benefit</w:t>
      </w:r>
      <w:r w:rsidR="52A7FEB1" w:rsidRPr="00E204F6">
        <w:rPr>
          <w:rFonts w:ascii="Times New Roman" w:eastAsia="Times New Roman" w:hAnsi="Times New Roman" w:cs="Times New Roman"/>
          <w:sz w:val="24"/>
          <w:szCs w:val="24"/>
        </w:rPr>
        <w:t xml:space="preserve"> demonstrated in the TROPIC trial, there is a clear need for a transparent economic evaluation to inform reimbursement decisions. The aim of </w:t>
      </w:r>
      <w:r w:rsidR="2EBFCFF2" w:rsidRPr="00E204F6">
        <w:rPr>
          <w:rFonts w:ascii="Times New Roman" w:eastAsia="Times New Roman" w:hAnsi="Times New Roman" w:cs="Times New Roman"/>
          <w:sz w:val="24"/>
          <w:szCs w:val="24"/>
        </w:rPr>
        <w:t>this</w:t>
      </w:r>
      <w:r w:rsidR="52A7FEB1" w:rsidRPr="00E204F6">
        <w:rPr>
          <w:rFonts w:ascii="Times New Roman" w:eastAsia="Times New Roman" w:hAnsi="Times New Roman" w:cs="Times New Roman"/>
          <w:sz w:val="24"/>
          <w:szCs w:val="24"/>
        </w:rPr>
        <w:t xml:space="preserve"> study therefore</w:t>
      </w:r>
      <w:r w:rsidR="2BBC1484" w:rsidRPr="00E204F6">
        <w:rPr>
          <w:rFonts w:ascii="Times New Roman" w:eastAsia="Times New Roman" w:hAnsi="Times New Roman" w:cs="Times New Roman"/>
          <w:sz w:val="24"/>
          <w:szCs w:val="24"/>
        </w:rPr>
        <w:t xml:space="preserve"> is</w:t>
      </w:r>
      <w:r w:rsidR="52A7FEB1" w:rsidRPr="00E204F6">
        <w:rPr>
          <w:rFonts w:ascii="Times New Roman" w:eastAsia="Times New Roman" w:hAnsi="Times New Roman" w:cs="Times New Roman"/>
          <w:sz w:val="24"/>
          <w:szCs w:val="24"/>
        </w:rPr>
        <w:t xml:space="preserve"> to answer the following research question: </w:t>
      </w:r>
    </w:p>
    <w:p w14:paraId="1A1BE8B5" w14:textId="19E4ECA8" w:rsidR="7495E207" w:rsidRPr="00E204F6" w:rsidRDefault="7495E207" w:rsidP="76C0B922">
      <w:pPr>
        <w:spacing w:before="240" w:after="240"/>
        <w:jc w:val="center"/>
        <w:rPr>
          <w:rFonts w:ascii="Times New Roman" w:eastAsia="Times New Roman" w:hAnsi="Times New Roman" w:cs="Times New Roman"/>
          <w:i/>
          <w:iCs/>
          <w:sz w:val="24"/>
          <w:szCs w:val="24"/>
        </w:rPr>
      </w:pPr>
      <w:r w:rsidRPr="00E204F6">
        <w:rPr>
          <w:rFonts w:ascii="Times New Roman" w:eastAsia="Times New Roman" w:hAnsi="Times New Roman" w:cs="Times New Roman"/>
          <w:i/>
          <w:iCs/>
          <w:sz w:val="24"/>
          <w:szCs w:val="24"/>
        </w:rPr>
        <w:t>“</w:t>
      </w:r>
      <w:r w:rsidR="3A7F5BCB" w:rsidRPr="00E204F6">
        <w:rPr>
          <w:rFonts w:ascii="Times New Roman" w:eastAsia="Times New Roman" w:hAnsi="Times New Roman" w:cs="Times New Roman"/>
          <w:i/>
          <w:iCs/>
          <w:sz w:val="24"/>
          <w:szCs w:val="24"/>
        </w:rPr>
        <w:t>I</w:t>
      </w:r>
      <w:r w:rsidR="52A7FEB1" w:rsidRPr="00E204F6">
        <w:rPr>
          <w:rFonts w:ascii="Times New Roman" w:eastAsia="Times New Roman" w:hAnsi="Times New Roman" w:cs="Times New Roman"/>
          <w:i/>
          <w:iCs/>
          <w:sz w:val="24"/>
          <w:szCs w:val="24"/>
        </w:rPr>
        <w:t>s</w:t>
      </w:r>
      <w:r w:rsidR="56FF3EBA" w:rsidRPr="00E204F6">
        <w:rPr>
          <w:rFonts w:ascii="Times New Roman" w:eastAsia="Times New Roman" w:hAnsi="Times New Roman" w:cs="Times New Roman"/>
          <w:i/>
          <w:iCs/>
          <w:sz w:val="24"/>
          <w:szCs w:val="24"/>
        </w:rPr>
        <w:t xml:space="preserve"> the</w:t>
      </w:r>
      <w:r w:rsidR="52A7FEB1" w:rsidRPr="00E204F6">
        <w:rPr>
          <w:rFonts w:ascii="Times New Roman" w:eastAsia="Times New Roman" w:hAnsi="Times New Roman" w:cs="Times New Roman"/>
          <w:i/>
          <w:iCs/>
          <w:sz w:val="24"/>
          <w:szCs w:val="24"/>
        </w:rPr>
        <w:t xml:space="preserve"> second-line </w:t>
      </w:r>
      <w:r w:rsidR="2EE5FB56" w:rsidRPr="00E204F6">
        <w:rPr>
          <w:rFonts w:ascii="Times New Roman" w:eastAsia="Times New Roman" w:hAnsi="Times New Roman" w:cs="Times New Roman"/>
          <w:i/>
          <w:iCs/>
          <w:sz w:val="24"/>
          <w:szCs w:val="24"/>
        </w:rPr>
        <w:t xml:space="preserve">chemotherapy </w:t>
      </w:r>
      <w:r w:rsidR="77EA56D4" w:rsidRPr="00E204F6">
        <w:rPr>
          <w:rFonts w:ascii="Times New Roman" w:eastAsia="Times New Roman" w:hAnsi="Times New Roman" w:cs="Times New Roman"/>
          <w:i/>
          <w:iCs/>
          <w:sz w:val="24"/>
          <w:szCs w:val="24"/>
        </w:rPr>
        <w:t>Cabazitaxel</w:t>
      </w:r>
      <w:r w:rsidR="52A7FEB1" w:rsidRPr="00E204F6">
        <w:rPr>
          <w:rFonts w:ascii="Times New Roman" w:eastAsia="Times New Roman" w:hAnsi="Times New Roman" w:cs="Times New Roman"/>
          <w:i/>
          <w:iCs/>
          <w:sz w:val="24"/>
          <w:szCs w:val="24"/>
        </w:rPr>
        <w:t xml:space="preserve"> plus Prednisone</w:t>
      </w:r>
      <w:r w:rsidR="21D3BE31" w:rsidRPr="00E204F6">
        <w:rPr>
          <w:rFonts w:ascii="Times New Roman" w:eastAsia="Times New Roman" w:hAnsi="Times New Roman" w:cs="Times New Roman"/>
          <w:i/>
          <w:iCs/>
          <w:sz w:val="24"/>
          <w:szCs w:val="24"/>
        </w:rPr>
        <w:t>, in metastatic castration-</w:t>
      </w:r>
      <w:r w:rsidR="19E0CE61" w:rsidRPr="00E204F6">
        <w:rPr>
          <w:rFonts w:ascii="Times New Roman" w:eastAsia="Times New Roman" w:hAnsi="Times New Roman" w:cs="Times New Roman"/>
          <w:i/>
          <w:iCs/>
          <w:sz w:val="24"/>
          <w:szCs w:val="24"/>
        </w:rPr>
        <w:t>resistant prostate</w:t>
      </w:r>
      <w:r w:rsidR="21D3BE31" w:rsidRPr="00E204F6">
        <w:rPr>
          <w:rFonts w:ascii="Times New Roman" w:eastAsia="Times New Roman" w:hAnsi="Times New Roman" w:cs="Times New Roman"/>
          <w:i/>
          <w:iCs/>
          <w:sz w:val="24"/>
          <w:szCs w:val="24"/>
        </w:rPr>
        <w:t xml:space="preserve"> cancer, that has progressed following or during docetaxel-based treatment, cost-effecti</w:t>
      </w:r>
      <w:r w:rsidR="309BB5D7" w:rsidRPr="00E204F6">
        <w:rPr>
          <w:rFonts w:ascii="Times New Roman" w:eastAsia="Times New Roman" w:hAnsi="Times New Roman" w:cs="Times New Roman"/>
          <w:i/>
          <w:iCs/>
          <w:sz w:val="24"/>
          <w:szCs w:val="24"/>
        </w:rPr>
        <w:t xml:space="preserve">ve opposed to chemotherapy </w:t>
      </w:r>
      <w:r w:rsidR="2E1C6553" w:rsidRPr="00E204F6">
        <w:rPr>
          <w:rFonts w:ascii="Times New Roman" w:eastAsia="Times New Roman" w:hAnsi="Times New Roman" w:cs="Times New Roman"/>
          <w:i/>
          <w:iCs/>
          <w:sz w:val="24"/>
          <w:szCs w:val="24"/>
        </w:rPr>
        <w:t>Mitoxantrone</w:t>
      </w:r>
      <w:r w:rsidR="309BB5D7" w:rsidRPr="00E204F6">
        <w:rPr>
          <w:rFonts w:ascii="Times New Roman" w:eastAsia="Times New Roman" w:hAnsi="Times New Roman" w:cs="Times New Roman"/>
          <w:i/>
          <w:iCs/>
          <w:sz w:val="24"/>
          <w:szCs w:val="24"/>
        </w:rPr>
        <w:t xml:space="preserve"> plus prednisone in the UK?”</w:t>
      </w:r>
    </w:p>
    <w:p w14:paraId="45FBF62B" w14:textId="4A1568C6" w:rsidR="005B1FB3" w:rsidRPr="00E204F6" w:rsidRDefault="005B1FB3" w:rsidP="0EC694D7">
      <w:pPr>
        <w:rPr>
          <w:rFonts w:ascii="Times New Roman" w:eastAsia="Times New Roman" w:hAnsi="Times New Roman" w:cs="Times New Roman"/>
          <w:sz w:val="24"/>
          <w:szCs w:val="24"/>
        </w:rPr>
      </w:pPr>
    </w:p>
    <w:p w14:paraId="3E08CBC1" w14:textId="5D002F2D" w:rsidR="005B1FB3" w:rsidRPr="00E204F6" w:rsidRDefault="005B1FB3" w:rsidP="76C0B922">
      <w:pPr>
        <w:pStyle w:val="Heading1"/>
        <w:jc w:val="center"/>
        <w:rPr>
          <w:rFonts w:ascii="Times New Roman" w:eastAsia="Times New Roman" w:hAnsi="Times New Roman" w:cs="Times New Roman"/>
          <w:color w:val="auto"/>
          <w:sz w:val="32"/>
          <w:szCs w:val="32"/>
        </w:rPr>
      </w:pPr>
    </w:p>
    <w:p w14:paraId="121D4B1A" w14:textId="5ABDAB2E" w:rsidR="005B1FB3" w:rsidRPr="00E204F6" w:rsidRDefault="6778A48A" w:rsidP="76C0B922">
      <w:pPr>
        <w:rPr>
          <w:rFonts w:ascii="Times New Roman" w:hAnsi="Times New Roman" w:cs="Times New Roman"/>
        </w:rPr>
      </w:pPr>
      <w:r w:rsidRPr="00E204F6">
        <w:rPr>
          <w:rFonts w:ascii="Times New Roman" w:hAnsi="Times New Roman" w:cs="Times New Roman"/>
        </w:rPr>
        <w:br w:type="page"/>
      </w:r>
    </w:p>
    <w:p w14:paraId="7C40AABC" w14:textId="528A2ABA" w:rsidR="005B1FB3" w:rsidRPr="00E204F6" w:rsidRDefault="49F79E0B" w:rsidP="76C0B922">
      <w:pPr>
        <w:pStyle w:val="Heading1"/>
        <w:jc w:val="center"/>
        <w:rPr>
          <w:rFonts w:ascii="Times New Roman" w:eastAsia="Times New Roman" w:hAnsi="Times New Roman" w:cs="Times New Roman"/>
          <w:color w:val="auto"/>
          <w:sz w:val="32"/>
          <w:szCs w:val="32"/>
        </w:rPr>
      </w:pPr>
      <w:bookmarkStart w:id="1" w:name="_Toc1626333393"/>
      <w:r w:rsidRPr="30076135">
        <w:rPr>
          <w:rFonts w:ascii="Times New Roman" w:eastAsia="Times New Roman" w:hAnsi="Times New Roman" w:cs="Times New Roman"/>
          <w:color w:val="auto"/>
          <w:sz w:val="32"/>
          <w:szCs w:val="32"/>
        </w:rPr>
        <w:lastRenderedPageBreak/>
        <w:t>METHOD</w:t>
      </w:r>
      <w:r w:rsidR="1627B609" w:rsidRPr="30076135">
        <w:rPr>
          <w:rFonts w:ascii="Times New Roman" w:eastAsia="Times New Roman" w:hAnsi="Times New Roman" w:cs="Times New Roman"/>
          <w:color w:val="auto"/>
          <w:sz w:val="32"/>
          <w:szCs w:val="32"/>
        </w:rPr>
        <w:t>S</w:t>
      </w:r>
      <w:bookmarkEnd w:id="1"/>
    </w:p>
    <w:p w14:paraId="0ABB64B0" w14:textId="4BEB850B" w:rsidR="005B1FB3" w:rsidRPr="00E204F6" w:rsidRDefault="5603640D" w:rsidP="76C0B922">
      <w:pPr>
        <w:pStyle w:val="Heading2"/>
        <w:rPr>
          <w:rFonts w:ascii="Times New Roman" w:eastAsia="Times New Roman" w:hAnsi="Times New Roman" w:cs="Times New Roman"/>
          <w:color w:val="auto"/>
          <w:sz w:val="28"/>
          <w:szCs w:val="28"/>
        </w:rPr>
      </w:pPr>
      <w:bookmarkStart w:id="2" w:name="_Toc1116797809"/>
      <w:r w:rsidRPr="30076135">
        <w:rPr>
          <w:rFonts w:ascii="Times New Roman" w:eastAsia="Times New Roman" w:hAnsi="Times New Roman" w:cs="Times New Roman"/>
          <w:color w:val="auto"/>
          <w:sz w:val="28"/>
          <w:szCs w:val="28"/>
        </w:rPr>
        <w:t>FRAMING</w:t>
      </w:r>
      <w:bookmarkEnd w:id="2"/>
    </w:p>
    <w:p w14:paraId="55866356" w14:textId="022CAD7C" w:rsidR="005B1FB3" w:rsidRPr="00E204F6" w:rsidRDefault="09938EA1" w:rsidP="76C0B922">
      <w:pPr>
        <w:spacing w:after="0"/>
        <w:rPr>
          <w:rFonts w:ascii="Times New Roman" w:eastAsia="Times New Roman" w:hAnsi="Times New Roman" w:cs="Times New Roman"/>
          <w:i/>
          <w:iCs/>
          <w:sz w:val="24"/>
          <w:szCs w:val="24"/>
        </w:rPr>
      </w:pPr>
      <w:r w:rsidRPr="00E204F6">
        <w:rPr>
          <w:rFonts w:ascii="Times New Roman" w:eastAsia="Times New Roman" w:hAnsi="Times New Roman" w:cs="Times New Roman"/>
          <w:i/>
          <w:iCs/>
          <w:sz w:val="24"/>
          <w:szCs w:val="24"/>
        </w:rPr>
        <w:t>Perspective</w:t>
      </w:r>
    </w:p>
    <w:p w14:paraId="7E6CB466" w14:textId="077AFE59" w:rsidR="005B1FB3" w:rsidRPr="00E204F6" w:rsidRDefault="424C4084" w:rsidP="76C0B922">
      <w:pPr>
        <w:spacing w:after="0"/>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Given that the audience for the cost-effecti</w:t>
      </w:r>
      <w:r w:rsidR="15154E91" w:rsidRPr="00E204F6">
        <w:rPr>
          <w:rFonts w:ascii="Times New Roman" w:eastAsia="Times New Roman" w:hAnsi="Times New Roman" w:cs="Times New Roman"/>
          <w:sz w:val="24"/>
          <w:szCs w:val="24"/>
        </w:rPr>
        <w:t>veness study</w:t>
      </w:r>
      <w:r w:rsidRPr="00E204F6">
        <w:rPr>
          <w:rFonts w:ascii="Times New Roman" w:eastAsia="Times New Roman" w:hAnsi="Times New Roman" w:cs="Times New Roman"/>
          <w:sz w:val="24"/>
          <w:szCs w:val="24"/>
        </w:rPr>
        <w:t xml:space="preserve"> is NICE</w:t>
      </w:r>
      <w:r w:rsidR="005FB63D" w:rsidRPr="00E204F6">
        <w:rPr>
          <w:rFonts w:ascii="Times New Roman" w:eastAsia="Times New Roman" w:hAnsi="Times New Roman" w:cs="Times New Roman"/>
          <w:sz w:val="24"/>
          <w:szCs w:val="24"/>
        </w:rPr>
        <w:t xml:space="preserve"> -</w:t>
      </w:r>
      <w:r w:rsidR="16B6D587" w:rsidRPr="00E204F6">
        <w:rPr>
          <w:rFonts w:ascii="Times New Roman" w:eastAsia="Times New Roman" w:hAnsi="Times New Roman" w:cs="Times New Roman"/>
          <w:sz w:val="24"/>
          <w:szCs w:val="24"/>
        </w:rPr>
        <w:t xml:space="preserve"> the agency in the UK that makes recommendations on the use of drugs within the NHS</w:t>
      </w:r>
      <w:r w:rsidR="6F84AB43" w:rsidRPr="00E204F6">
        <w:rPr>
          <w:rFonts w:ascii="Times New Roman" w:eastAsia="Times New Roman" w:hAnsi="Times New Roman" w:cs="Times New Roman"/>
          <w:sz w:val="24"/>
          <w:szCs w:val="24"/>
        </w:rPr>
        <w:t xml:space="preserve"> - </w:t>
      </w:r>
      <w:r w:rsidRPr="00E204F6">
        <w:rPr>
          <w:rFonts w:ascii="Times New Roman" w:eastAsia="Times New Roman" w:hAnsi="Times New Roman" w:cs="Times New Roman"/>
          <w:sz w:val="24"/>
          <w:szCs w:val="24"/>
        </w:rPr>
        <w:t>their guidance regarding the relevant perspective should be followed</w:t>
      </w:r>
      <w:r w:rsidR="00B43FE1" w:rsidRPr="00E204F6">
        <w:rPr>
          <w:rFonts w:ascii="Times New Roman" w:eastAsia="Times New Roman" w:hAnsi="Times New Roman" w:cs="Times New Roman"/>
          <w:sz w:val="24"/>
          <w:szCs w:val="24"/>
        </w:rPr>
        <w:t>.</w:t>
      </w:r>
      <w:r w:rsidRPr="00E204F6">
        <w:rPr>
          <w:rFonts w:ascii="Times New Roman" w:eastAsia="Times New Roman" w:hAnsi="Times New Roman" w:cs="Times New Roman"/>
          <w:sz w:val="24"/>
          <w:szCs w:val="24"/>
        </w:rPr>
        <w:t xml:space="preserve"> </w:t>
      </w:r>
      <w:r w:rsidR="36EDFDE5" w:rsidRPr="00E204F6">
        <w:rPr>
          <w:rFonts w:ascii="Times New Roman" w:eastAsia="Times New Roman" w:hAnsi="Times New Roman" w:cs="Times New Roman"/>
          <w:sz w:val="24"/>
          <w:szCs w:val="24"/>
        </w:rPr>
        <w:t>H</w:t>
      </w:r>
      <w:r w:rsidRPr="00E204F6">
        <w:rPr>
          <w:rFonts w:ascii="Times New Roman" w:eastAsia="Times New Roman" w:hAnsi="Times New Roman" w:cs="Times New Roman"/>
          <w:sz w:val="24"/>
          <w:szCs w:val="24"/>
        </w:rPr>
        <w:t xml:space="preserve">ence this study is done from </w:t>
      </w:r>
      <w:r w:rsidR="152769E5" w:rsidRPr="00E204F6">
        <w:rPr>
          <w:rFonts w:ascii="Times New Roman" w:eastAsia="Times New Roman" w:hAnsi="Times New Roman" w:cs="Times New Roman"/>
          <w:sz w:val="24"/>
          <w:szCs w:val="24"/>
        </w:rPr>
        <w:t>a</w:t>
      </w:r>
      <w:r w:rsidR="17DC6FB9" w:rsidRPr="00E204F6">
        <w:rPr>
          <w:rFonts w:ascii="Times New Roman" w:eastAsia="Times New Roman" w:hAnsi="Times New Roman" w:cs="Times New Roman"/>
          <w:sz w:val="24"/>
          <w:szCs w:val="24"/>
        </w:rPr>
        <w:t xml:space="preserve"> healthcare</w:t>
      </w:r>
      <w:r w:rsidR="001052D6" w:rsidRPr="00E204F6">
        <w:rPr>
          <w:rFonts w:ascii="Times New Roman" w:eastAsia="Times New Roman" w:hAnsi="Times New Roman" w:cs="Times New Roman"/>
          <w:sz w:val="24"/>
          <w:szCs w:val="24"/>
        </w:rPr>
        <w:t xml:space="preserve"> perspective</w:t>
      </w:r>
      <w:r w:rsidR="53ED7599" w:rsidRPr="00E204F6">
        <w:rPr>
          <w:rFonts w:ascii="Times New Roman" w:eastAsia="Times New Roman" w:hAnsi="Times New Roman" w:cs="Times New Roman"/>
          <w:sz w:val="24"/>
          <w:szCs w:val="24"/>
        </w:rPr>
        <w:t xml:space="preserve"> (NHS)</w:t>
      </w:r>
      <w:r w:rsidR="424FC9C6" w:rsidRPr="00E204F6">
        <w:rPr>
          <w:rFonts w:ascii="Times New Roman" w:eastAsia="Times New Roman" w:hAnsi="Times New Roman" w:cs="Times New Roman"/>
          <w:sz w:val="24"/>
          <w:szCs w:val="24"/>
        </w:rPr>
        <w:t>, where the focus is on costs for the health care provider</w:t>
      </w:r>
      <w:r w:rsidR="691BBC5D" w:rsidRPr="00E204F6">
        <w:rPr>
          <w:rFonts w:ascii="Times New Roman" w:eastAsia="Times New Roman" w:hAnsi="Times New Roman" w:cs="Times New Roman"/>
          <w:sz w:val="24"/>
          <w:szCs w:val="24"/>
        </w:rPr>
        <w:t>. Non-medical costs and productivity losses are ignored.</w:t>
      </w:r>
      <w:r w:rsidR="424FC9C6" w:rsidRPr="00E204F6">
        <w:rPr>
          <w:rFonts w:ascii="Times New Roman" w:eastAsia="Times New Roman" w:hAnsi="Times New Roman" w:cs="Times New Roman"/>
          <w:sz w:val="24"/>
          <w:szCs w:val="24"/>
        </w:rPr>
        <w:t xml:space="preserve"> </w:t>
      </w:r>
    </w:p>
    <w:p w14:paraId="2A697C26" w14:textId="6BA4064B" w:rsidR="76C0B922" w:rsidRPr="00E204F6" w:rsidRDefault="76C0B922" w:rsidP="76C0B922">
      <w:pPr>
        <w:spacing w:after="0"/>
        <w:rPr>
          <w:rFonts w:ascii="Times New Roman" w:eastAsia="Times New Roman" w:hAnsi="Times New Roman" w:cs="Times New Roman"/>
          <w:i/>
          <w:iCs/>
          <w:sz w:val="32"/>
          <w:szCs w:val="32"/>
        </w:rPr>
      </w:pPr>
    </w:p>
    <w:p w14:paraId="77835B04" w14:textId="2AAE20A0" w:rsidR="005B1FB3" w:rsidRPr="00E204F6" w:rsidRDefault="4EC6E23B" w:rsidP="76C0B922">
      <w:pPr>
        <w:spacing w:after="0"/>
        <w:rPr>
          <w:rFonts w:ascii="Times New Roman" w:eastAsia="Times New Roman" w:hAnsi="Times New Roman" w:cs="Times New Roman"/>
          <w:i/>
          <w:iCs/>
          <w:sz w:val="24"/>
          <w:szCs w:val="24"/>
        </w:rPr>
      </w:pPr>
      <w:r w:rsidRPr="00E204F6">
        <w:rPr>
          <w:rFonts w:ascii="Times New Roman" w:eastAsia="Times New Roman" w:hAnsi="Times New Roman" w:cs="Times New Roman"/>
          <w:i/>
          <w:iCs/>
          <w:sz w:val="24"/>
          <w:szCs w:val="24"/>
        </w:rPr>
        <w:t>Tim</w:t>
      </w:r>
      <w:r w:rsidRPr="00E204F6">
        <w:rPr>
          <w:rFonts w:ascii="Times New Roman" w:eastAsiaTheme="minorEastAsia" w:hAnsi="Times New Roman" w:cs="Times New Roman"/>
          <w:i/>
          <w:iCs/>
          <w:sz w:val="24"/>
          <w:szCs w:val="24"/>
        </w:rPr>
        <w:t>e-horizon</w:t>
      </w:r>
    </w:p>
    <w:p w14:paraId="59DE5780" w14:textId="059D4798" w:rsidR="4FA13570" w:rsidRPr="00E204F6" w:rsidRDefault="4FA13570" w:rsidP="76C0B922">
      <w:pPr>
        <w:rPr>
          <w:rFonts w:ascii="Times New Roman" w:eastAsia="Times New Roman" w:hAnsi="Times New Roman" w:cs="Times New Roman"/>
          <w:sz w:val="24"/>
          <w:szCs w:val="24"/>
        </w:rPr>
      </w:pPr>
      <w:r w:rsidRPr="00E204F6">
        <w:rPr>
          <w:rFonts w:ascii="Times New Roman" w:eastAsiaTheme="minorEastAsia" w:hAnsi="Times New Roman" w:cs="Times New Roman"/>
          <w:sz w:val="24"/>
          <w:szCs w:val="24"/>
        </w:rPr>
        <w:t>Given th</w:t>
      </w:r>
      <w:r w:rsidRPr="00E204F6">
        <w:rPr>
          <w:rFonts w:ascii="Times New Roman" w:eastAsia="Times New Roman" w:hAnsi="Times New Roman" w:cs="Times New Roman"/>
          <w:sz w:val="24"/>
          <w:szCs w:val="24"/>
        </w:rPr>
        <w:t>e audience, NICE’s guidance regarding the relevant time horizon should be followed</w:t>
      </w:r>
      <w:r w:rsidR="4D35D266" w:rsidRPr="00E204F6">
        <w:rPr>
          <w:rFonts w:ascii="Times New Roman" w:eastAsia="Times New Roman" w:hAnsi="Times New Roman" w:cs="Times New Roman"/>
          <w:sz w:val="24"/>
          <w:szCs w:val="24"/>
        </w:rPr>
        <w:t xml:space="preserve">, </w:t>
      </w:r>
      <w:r w:rsidR="5C25E570" w:rsidRPr="00E204F6">
        <w:rPr>
          <w:rFonts w:ascii="Times New Roman" w:eastAsia="Times New Roman" w:hAnsi="Times New Roman" w:cs="Times New Roman"/>
          <w:sz w:val="24"/>
          <w:szCs w:val="24"/>
        </w:rPr>
        <w:t>i.e.</w:t>
      </w:r>
      <w:r w:rsidRPr="00E204F6">
        <w:rPr>
          <w:rFonts w:ascii="Times New Roman" w:eastAsia="Times New Roman" w:hAnsi="Times New Roman" w:cs="Times New Roman"/>
          <w:sz w:val="24"/>
          <w:szCs w:val="24"/>
        </w:rPr>
        <w:t xml:space="preserve"> </w:t>
      </w:r>
      <w:r w:rsidR="68794315" w:rsidRPr="00E204F6">
        <w:rPr>
          <w:rFonts w:ascii="Times New Roman" w:eastAsia="Times New Roman" w:hAnsi="Times New Roman" w:cs="Times New Roman"/>
          <w:sz w:val="24"/>
          <w:szCs w:val="24"/>
        </w:rPr>
        <w:t>a</w:t>
      </w:r>
      <w:r w:rsidRPr="00E204F6">
        <w:rPr>
          <w:rFonts w:ascii="Times New Roman" w:eastAsia="Times New Roman" w:hAnsi="Times New Roman" w:cs="Times New Roman"/>
          <w:sz w:val="24"/>
          <w:szCs w:val="24"/>
        </w:rPr>
        <w:t xml:space="preserve"> time horizon long enough to include all relevant costs and effects. </w:t>
      </w:r>
      <w:r w:rsidR="348B2F92" w:rsidRPr="00E204F6">
        <w:rPr>
          <w:rFonts w:ascii="Times New Roman" w:eastAsia="Times New Roman" w:hAnsi="Times New Roman" w:cs="Times New Roman"/>
          <w:sz w:val="24"/>
          <w:szCs w:val="24"/>
        </w:rPr>
        <w:t xml:space="preserve">Therefore, </w:t>
      </w:r>
      <w:r w:rsidRPr="00E204F6">
        <w:rPr>
          <w:rFonts w:ascii="Times New Roman" w:eastAsia="Times New Roman" w:hAnsi="Times New Roman" w:cs="Times New Roman"/>
          <w:sz w:val="24"/>
          <w:szCs w:val="24"/>
        </w:rPr>
        <w:t xml:space="preserve">this study is </w:t>
      </w:r>
      <w:r w:rsidR="13B4FAC0" w:rsidRPr="00E204F6">
        <w:rPr>
          <w:rFonts w:ascii="Times New Roman" w:eastAsia="Times New Roman" w:hAnsi="Times New Roman" w:cs="Times New Roman"/>
          <w:sz w:val="24"/>
          <w:szCs w:val="24"/>
        </w:rPr>
        <w:t xml:space="preserve">conducted </w:t>
      </w:r>
      <w:r w:rsidR="645F588E" w:rsidRPr="00E204F6">
        <w:rPr>
          <w:rFonts w:ascii="Times New Roman" w:eastAsia="Times New Roman" w:hAnsi="Times New Roman" w:cs="Times New Roman"/>
          <w:sz w:val="24"/>
          <w:szCs w:val="24"/>
        </w:rPr>
        <w:t>ove</w:t>
      </w:r>
      <w:r w:rsidRPr="00E204F6">
        <w:rPr>
          <w:rFonts w:ascii="Times New Roman" w:eastAsia="Times New Roman" w:hAnsi="Times New Roman" w:cs="Times New Roman"/>
          <w:sz w:val="24"/>
          <w:szCs w:val="24"/>
        </w:rPr>
        <w:t>r a lifetime horizon</w:t>
      </w:r>
      <w:r w:rsidR="57E72EE6" w:rsidRPr="00E204F6">
        <w:rPr>
          <w:rFonts w:ascii="Times New Roman" w:eastAsia="Times New Roman" w:hAnsi="Times New Roman" w:cs="Times New Roman"/>
          <w:sz w:val="24"/>
          <w:szCs w:val="24"/>
        </w:rPr>
        <w:t xml:space="preserve">, </w:t>
      </w:r>
      <w:r w:rsidR="1BB2A0FF" w:rsidRPr="00E204F6">
        <w:rPr>
          <w:rFonts w:ascii="Times New Roman" w:eastAsia="Times New Roman" w:hAnsi="Times New Roman" w:cs="Times New Roman"/>
          <w:sz w:val="24"/>
          <w:szCs w:val="24"/>
        </w:rPr>
        <w:t xml:space="preserve">which </w:t>
      </w:r>
      <w:r w:rsidR="0856CF91" w:rsidRPr="00E204F6">
        <w:rPr>
          <w:rFonts w:ascii="Times New Roman" w:eastAsia="Times New Roman" w:hAnsi="Times New Roman" w:cs="Times New Roman"/>
          <w:sz w:val="24"/>
          <w:szCs w:val="24"/>
        </w:rPr>
        <w:t xml:space="preserve">should be long enough to cover </w:t>
      </w:r>
      <w:r w:rsidR="57E72EE6" w:rsidRPr="00E204F6">
        <w:rPr>
          <w:rFonts w:ascii="Times New Roman" w:eastAsia="Times New Roman" w:hAnsi="Times New Roman" w:cs="Times New Roman"/>
          <w:sz w:val="24"/>
          <w:szCs w:val="24"/>
        </w:rPr>
        <w:t xml:space="preserve">time to death for </w:t>
      </w:r>
      <w:r w:rsidR="142F094E" w:rsidRPr="00E204F6">
        <w:rPr>
          <w:rFonts w:ascii="Times New Roman" w:eastAsia="Times New Roman" w:hAnsi="Times New Roman" w:cs="Times New Roman"/>
          <w:sz w:val="24"/>
          <w:szCs w:val="24"/>
        </w:rPr>
        <w:t>most</w:t>
      </w:r>
      <w:r w:rsidR="57E72EE6" w:rsidRPr="00E204F6">
        <w:rPr>
          <w:rFonts w:ascii="Times New Roman" w:eastAsia="Times New Roman" w:hAnsi="Times New Roman" w:cs="Times New Roman"/>
          <w:sz w:val="24"/>
          <w:szCs w:val="24"/>
        </w:rPr>
        <w:t xml:space="preserve"> patients. </w:t>
      </w:r>
      <w:r w:rsidRPr="00E204F6">
        <w:rPr>
          <w:rFonts w:ascii="Times New Roman" w:eastAsia="Times New Roman" w:hAnsi="Times New Roman" w:cs="Times New Roman"/>
          <w:sz w:val="24"/>
          <w:szCs w:val="24"/>
        </w:rPr>
        <w:t>Given t</w:t>
      </w:r>
      <w:r w:rsidR="689085FF" w:rsidRPr="00E204F6">
        <w:rPr>
          <w:rFonts w:ascii="Times New Roman" w:eastAsia="Times New Roman" w:hAnsi="Times New Roman" w:cs="Times New Roman"/>
          <w:sz w:val="24"/>
          <w:szCs w:val="24"/>
        </w:rPr>
        <w:t>h</w:t>
      </w:r>
      <w:r w:rsidR="17244DF4" w:rsidRPr="00E204F6">
        <w:rPr>
          <w:rFonts w:ascii="Times New Roman" w:eastAsia="Times New Roman" w:hAnsi="Times New Roman" w:cs="Times New Roman"/>
          <w:sz w:val="24"/>
          <w:szCs w:val="24"/>
        </w:rPr>
        <w:t>e median</w:t>
      </w:r>
      <w:r w:rsidR="2DA9065E" w:rsidRPr="00E204F6">
        <w:rPr>
          <w:rFonts w:ascii="Times New Roman" w:eastAsia="Times New Roman" w:hAnsi="Times New Roman" w:cs="Times New Roman"/>
          <w:sz w:val="24"/>
          <w:szCs w:val="24"/>
        </w:rPr>
        <w:t xml:space="preserve"> </w:t>
      </w:r>
      <w:r w:rsidRPr="00E204F6">
        <w:rPr>
          <w:rFonts w:ascii="Times New Roman" w:eastAsia="Times New Roman" w:hAnsi="Times New Roman" w:cs="Times New Roman"/>
          <w:sz w:val="24"/>
          <w:szCs w:val="24"/>
        </w:rPr>
        <w:t xml:space="preserve">survival time </w:t>
      </w:r>
      <w:r w:rsidR="1A09E205" w:rsidRPr="00E204F6">
        <w:rPr>
          <w:rFonts w:ascii="Times New Roman" w:eastAsia="Times New Roman" w:hAnsi="Times New Roman" w:cs="Times New Roman"/>
          <w:sz w:val="24"/>
          <w:szCs w:val="24"/>
        </w:rPr>
        <w:t>of approximately</w:t>
      </w:r>
      <w:r w:rsidR="14C74B0D" w:rsidRPr="00E204F6">
        <w:rPr>
          <w:rFonts w:ascii="Times New Roman" w:eastAsia="Times New Roman" w:hAnsi="Times New Roman" w:cs="Times New Roman"/>
          <w:sz w:val="24"/>
          <w:szCs w:val="24"/>
        </w:rPr>
        <w:t xml:space="preserve"> </w:t>
      </w:r>
      <w:r w:rsidRPr="00E204F6">
        <w:rPr>
          <w:rFonts w:ascii="Times New Roman" w:eastAsia="Times New Roman" w:hAnsi="Times New Roman" w:cs="Times New Roman"/>
          <w:sz w:val="24"/>
          <w:szCs w:val="24"/>
        </w:rPr>
        <w:t>15</w:t>
      </w:r>
      <w:r w:rsidR="179F0B88" w:rsidRPr="00E204F6">
        <w:rPr>
          <w:rFonts w:ascii="Times New Roman" w:eastAsia="Times New Roman" w:hAnsi="Times New Roman" w:cs="Times New Roman"/>
          <w:sz w:val="24"/>
          <w:szCs w:val="24"/>
        </w:rPr>
        <w:t xml:space="preserve"> </w:t>
      </w:r>
      <w:r w:rsidR="357CCA34" w:rsidRPr="00E204F6">
        <w:rPr>
          <w:rFonts w:ascii="Times New Roman" w:eastAsia="Times New Roman" w:hAnsi="Times New Roman" w:cs="Times New Roman"/>
          <w:sz w:val="24"/>
          <w:szCs w:val="24"/>
        </w:rPr>
        <w:t xml:space="preserve">months </w:t>
      </w:r>
      <w:r w:rsidR="179F0B88" w:rsidRPr="00E204F6">
        <w:rPr>
          <w:rFonts w:ascii="Times New Roman" w:eastAsia="Times New Roman" w:hAnsi="Times New Roman" w:cs="Times New Roman"/>
          <w:sz w:val="24"/>
          <w:szCs w:val="24"/>
        </w:rPr>
        <w:t xml:space="preserve">(De Bono et al., 2010) and that at 30 months at least 10-15% of patients </w:t>
      </w:r>
      <w:r w:rsidR="761D6873" w:rsidRPr="00E204F6">
        <w:rPr>
          <w:rFonts w:ascii="Times New Roman" w:eastAsia="Times New Roman" w:hAnsi="Times New Roman" w:cs="Times New Roman"/>
          <w:sz w:val="24"/>
          <w:szCs w:val="24"/>
        </w:rPr>
        <w:t>is</w:t>
      </w:r>
      <w:r w:rsidR="179F0B88" w:rsidRPr="00E204F6">
        <w:rPr>
          <w:rFonts w:ascii="Times New Roman" w:eastAsia="Times New Roman" w:hAnsi="Times New Roman" w:cs="Times New Roman"/>
          <w:sz w:val="24"/>
          <w:szCs w:val="24"/>
        </w:rPr>
        <w:t xml:space="preserve"> still alive</w:t>
      </w:r>
      <w:r w:rsidR="3181799C" w:rsidRPr="00E204F6">
        <w:rPr>
          <w:rFonts w:ascii="Times New Roman" w:eastAsia="Times New Roman" w:hAnsi="Times New Roman" w:cs="Times New Roman"/>
          <w:sz w:val="24"/>
          <w:szCs w:val="24"/>
        </w:rPr>
        <w:t xml:space="preserve"> (Bahl et al., 2010)</w:t>
      </w:r>
      <w:r w:rsidRPr="00E204F6">
        <w:rPr>
          <w:rFonts w:ascii="Times New Roman" w:eastAsia="Times New Roman" w:hAnsi="Times New Roman" w:cs="Times New Roman"/>
          <w:sz w:val="24"/>
          <w:szCs w:val="24"/>
        </w:rPr>
        <w:t xml:space="preserve">, simulating the model for </w:t>
      </w:r>
      <w:r w:rsidR="1ECA8B7B" w:rsidRPr="00E204F6">
        <w:rPr>
          <w:rFonts w:ascii="Times New Roman" w:eastAsia="Times New Roman" w:hAnsi="Times New Roman" w:cs="Times New Roman"/>
          <w:sz w:val="24"/>
          <w:szCs w:val="24"/>
        </w:rPr>
        <w:t>1</w:t>
      </w:r>
      <w:r w:rsidRPr="00E204F6">
        <w:rPr>
          <w:rFonts w:ascii="Times New Roman" w:eastAsia="Times New Roman" w:hAnsi="Times New Roman" w:cs="Times New Roman"/>
          <w:sz w:val="24"/>
          <w:szCs w:val="24"/>
        </w:rPr>
        <w:t xml:space="preserve">5 years </w:t>
      </w:r>
      <w:r w:rsidR="3057F597" w:rsidRPr="00E204F6">
        <w:rPr>
          <w:rFonts w:ascii="Times New Roman" w:eastAsia="Times New Roman" w:hAnsi="Times New Roman" w:cs="Times New Roman"/>
          <w:sz w:val="24"/>
          <w:szCs w:val="24"/>
        </w:rPr>
        <w:t xml:space="preserve">is considered more than sufficient, as by that point </w:t>
      </w:r>
      <w:r w:rsidR="73A31171" w:rsidRPr="00E204F6">
        <w:rPr>
          <w:rFonts w:ascii="Times New Roman" w:eastAsia="Times New Roman" w:hAnsi="Times New Roman" w:cs="Times New Roman"/>
          <w:sz w:val="24"/>
          <w:szCs w:val="24"/>
        </w:rPr>
        <w:t>virtually all patients in the model have died.</w:t>
      </w:r>
    </w:p>
    <w:p w14:paraId="2914D80D" w14:textId="420D197A" w:rsidR="76C0B922" w:rsidRPr="00E204F6" w:rsidRDefault="76C0B922" w:rsidP="76C0B922">
      <w:pPr>
        <w:spacing w:line="240" w:lineRule="auto"/>
        <w:rPr>
          <w:rFonts w:ascii="Times New Roman" w:eastAsia="Times New Roman" w:hAnsi="Times New Roman" w:cs="Times New Roman"/>
          <w:sz w:val="12"/>
          <w:szCs w:val="12"/>
        </w:rPr>
      </w:pPr>
    </w:p>
    <w:p w14:paraId="77BB6A40" w14:textId="1F058107" w:rsidR="005B1FB3" w:rsidRPr="00E204F6" w:rsidRDefault="4EC6E23B" w:rsidP="76C0B922">
      <w:pPr>
        <w:spacing w:after="0"/>
        <w:rPr>
          <w:rFonts w:ascii="Times New Roman" w:eastAsiaTheme="minorEastAsia" w:hAnsi="Times New Roman" w:cs="Times New Roman"/>
          <w:i/>
          <w:iCs/>
          <w:sz w:val="24"/>
          <w:szCs w:val="24"/>
        </w:rPr>
      </w:pPr>
      <w:r w:rsidRPr="00E204F6">
        <w:rPr>
          <w:rFonts w:ascii="Times New Roman" w:eastAsia="Times New Roman" w:hAnsi="Times New Roman" w:cs="Times New Roman"/>
          <w:i/>
          <w:iCs/>
          <w:sz w:val="24"/>
          <w:szCs w:val="24"/>
        </w:rPr>
        <w:t>P</w:t>
      </w:r>
      <w:r w:rsidRPr="00E204F6">
        <w:rPr>
          <w:rFonts w:ascii="Times New Roman" w:eastAsiaTheme="minorEastAsia" w:hAnsi="Times New Roman" w:cs="Times New Roman"/>
          <w:i/>
          <w:iCs/>
          <w:sz w:val="24"/>
          <w:szCs w:val="24"/>
        </w:rPr>
        <w:t>opulation</w:t>
      </w:r>
    </w:p>
    <w:p w14:paraId="43160A36" w14:textId="63CE1866" w:rsidR="005B1FB3" w:rsidRPr="00E204F6" w:rsidRDefault="36E52A74" w:rsidP="5C731B8B">
      <w:pPr>
        <w:rPr>
          <w:rFonts w:ascii="Times New Roman" w:eastAsia="Times New Roman" w:hAnsi="Times New Roman" w:cs="Times New Roman"/>
          <w:sz w:val="24"/>
          <w:szCs w:val="24"/>
        </w:rPr>
      </w:pPr>
      <w:r w:rsidRPr="00E204F6">
        <w:rPr>
          <w:rFonts w:ascii="Times New Roman" w:eastAsiaTheme="minorEastAsia" w:hAnsi="Times New Roman" w:cs="Times New Roman"/>
          <w:sz w:val="24"/>
          <w:szCs w:val="24"/>
        </w:rPr>
        <w:t xml:space="preserve">The </w:t>
      </w:r>
      <w:r w:rsidR="7D073507" w:rsidRPr="00E204F6">
        <w:rPr>
          <w:rFonts w:ascii="Times New Roman" w:eastAsiaTheme="minorEastAsia" w:hAnsi="Times New Roman" w:cs="Times New Roman"/>
          <w:sz w:val="24"/>
          <w:szCs w:val="24"/>
        </w:rPr>
        <w:t>target population</w:t>
      </w:r>
      <w:r w:rsidRPr="00E204F6">
        <w:rPr>
          <w:rFonts w:ascii="Times New Roman" w:eastAsiaTheme="minorEastAsia" w:hAnsi="Times New Roman" w:cs="Times New Roman"/>
          <w:sz w:val="24"/>
          <w:szCs w:val="24"/>
        </w:rPr>
        <w:t xml:space="preserve"> for the intervention are men (in the UK) who have </w:t>
      </w:r>
      <w:r w:rsidR="22C7B000" w:rsidRPr="00E204F6">
        <w:rPr>
          <w:rFonts w:ascii="Times New Roman" w:eastAsiaTheme="minorEastAsia" w:hAnsi="Times New Roman" w:cs="Times New Roman"/>
          <w:sz w:val="24"/>
          <w:szCs w:val="24"/>
        </w:rPr>
        <w:t xml:space="preserve">hormone refractory metastatic prostate cancer, </w:t>
      </w:r>
      <w:r w:rsidRPr="00E204F6">
        <w:rPr>
          <w:rFonts w:ascii="Times New Roman" w:eastAsia="Times New Roman" w:hAnsi="Times New Roman" w:cs="Times New Roman"/>
          <w:sz w:val="24"/>
          <w:szCs w:val="24"/>
        </w:rPr>
        <w:t xml:space="preserve">that has progressed following or during </w:t>
      </w:r>
      <w:r w:rsidR="2FCEE278" w:rsidRPr="00E204F6">
        <w:rPr>
          <w:rFonts w:ascii="Times New Roman" w:eastAsia="Times New Roman" w:hAnsi="Times New Roman" w:cs="Times New Roman"/>
          <w:sz w:val="24"/>
          <w:szCs w:val="24"/>
        </w:rPr>
        <w:t>D</w:t>
      </w:r>
      <w:r w:rsidRPr="00E204F6">
        <w:rPr>
          <w:rFonts w:ascii="Times New Roman" w:eastAsia="Times New Roman" w:hAnsi="Times New Roman" w:cs="Times New Roman"/>
          <w:sz w:val="24"/>
          <w:szCs w:val="24"/>
        </w:rPr>
        <w:t>ocetaxel-based treatment</w:t>
      </w:r>
      <w:r w:rsidR="16DFA729" w:rsidRPr="00E204F6">
        <w:rPr>
          <w:rFonts w:ascii="Times New Roman" w:eastAsia="Times New Roman" w:hAnsi="Times New Roman" w:cs="Times New Roman"/>
          <w:sz w:val="24"/>
          <w:szCs w:val="24"/>
        </w:rPr>
        <w:t>.</w:t>
      </w:r>
    </w:p>
    <w:p w14:paraId="05105CBD" w14:textId="108AF3E4" w:rsidR="76C0B922" w:rsidRPr="00E204F6" w:rsidRDefault="76C0B922" w:rsidP="76C0B922">
      <w:pPr>
        <w:rPr>
          <w:rFonts w:ascii="Times New Roman" w:eastAsia="Times New Roman" w:hAnsi="Times New Roman" w:cs="Times New Roman"/>
          <w:sz w:val="12"/>
          <w:szCs w:val="12"/>
        </w:rPr>
      </w:pPr>
    </w:p>
    <w:p w14:paraId="1E0DEB5E" w14:textId="71D95224" w:rsidR="005B1FB3" w:rsidRPr="00E204F6" w:rsidRDefault="00634986" w:rsidP="76C0B922">
      <w:pPr>
        <w:spacing w:after="0"/>
        <w:rPr>
          <w:rFonts w:ascii="Times New Roman" w:eastAsiaTheme="minorEastAsia" w:hAnsi="Times New Roman" w:cs="Times New Roman"/>
          <w:i/>
          <w:iCs/>
          <w:sz w:val="24"/>
          <w:szCs w:val="24"/>
        </w:rPr>
      </w:pPr>
      <w:r w:rsidRPr="00E204F6">
        <w:rPr>
          <w:rFonts w:ascii="Times New Roman" w:eastAsia="Times New Roman" w:hAnsi="Times New Roman" w:cs="Times New Roman"/>
          <w:i/>
          <w:iCs/>
          <w:sz w:val="24"/>
          <w:szCs w:val="24"/>
        </w:rPr>
        <w:t>Intervention</w:t>
      </w:r>
    </w:p>
    <w:p w14:paraId="2C12D8F9" w14:textId="27A9306B" w:rsidR="005B1FB3" w:rsidRPr="00E204F6" w:rsidRDefault="0D0A6B2E" w:rsidP="5C731B8B">
      <w:pPr>
        <w:rPr>
          <w:rFonts w:ascii="Times New Roman" w:eastAsia="Times New Roman" w:hAnsi="Times New Roman" w:cs="Times New Roman"/>
          <w:sz w:val="24"/>
          <w:szCs w:val="24"/>
        </w:rPr>
      </w:pPr>
      <w:r w:rsidRPr="00E204F6">
        <w:rPr>
          <w:rFonts w:ascii="Times New Roman" w:eastAsiaTheme="minorEastAsia" w:hAnsi="Times New Roman" w:cs="Times New Roman"/>
          <w:sz w:val="24"/>
          <w:szCs w:val="24"/>
        </w:rPr>
        <w:t>The intervention i</w:t>
      </w:r>
      <w:r w:rsidR="4BA8576E" w:rsidRPr="00E204F6">
        <w:rPr>
          <w:rFonts w:ascii="Times New Roman" w:eastAsiaTheme="minorEastAsia" w:hAnsi="Times New Roman" w:cs="Times New Roman"/>
          <w:sz w:val="24"/>
          <w:szCs w:val="24"/>
        </w:rPr>
        <w:t xml:space="preserve">s </w:t>
      </w:r>
      <w:proofErr w:type="spellStart"/>
      <w:r w:rsidR="77EA56D4" w:rsidRPr="00E204F6">
        <w:rPr>
          <w:rFonts w:ascii="Times New Roman" w:eastAsiaTheme="minorEastAsia" w:hAnsi="Times New Roman" w:cs="Times New Roman"/>
          <w:sz w:val="24"/>
          <w:szCs w:val="24"/>
        </w:rPr>
        <w:t>Cabazitaxel</w:t>
      </w:r>
      <w:proofErr w:type="spellEnd"/>
      <w:r w:rsidR="4BA8576E" w:rsidRPr="00E204F6">
        <w:rPr>
          <w:rFonts w:ascii="Times New Roman" w:eastAsiaTheme="minorEastAsia" w:hAnsi="Times New Roman" w:cs="Times New Roman"/>
          <w:sz w:val="24"/>
          <w:szCs w:val="24"/>
        </w:rPr>
        <w:t xml:space="preserve"> (</w:t>
      </w:r>
      <w:proofErr w:type="spellStart"/>
      <w:r w:rsidR="4BA8576E" w:rsidRPr="00E204F6">
        <w:rPr>
          <w:rFonts w:ascii="Times New Roman" w:eastAsiaTheme="minorEastAsia" w:hAnsi="Times New Roman" w:cs="Times New Roman"/>
          <w:sz w:val="24"/>
          <w:szCs w:val="24"/>
        </w:rPr>
        <w:t>Jevtana</w:t>
      </w:r>
      <w:proofErr w:type="spellEnd"/>
      <w:r w:rsidR="4BA8576E" w:rsidRPr="00E204F6">
        <w:rPr>
          <w:rFonts w:ascii="Times New Roman" w:eastAsiaTheme="minorEastAsia" w:hAnsi="Times New Roman" w:cs="Times New Roman"/>
          <w:sz w:val="24"/>
          <w:szCs w:val="24"/>
        </w:rPr>
        <w:t xml:space="preserve">, manufacturer </w:t>
      </w:r>
      <w:proofErr w:type="spellStart"/>
      <w:r w:rsidR="4BA8576E" w:rsidRPr="00E204F6">
        <w:rPr>
          <w:rFonts w:ascii="Times New Roman" w:eastAsiaTheme="minorEastAsia" w:hAnsi="Times New Roman" w:cs="Times New Roman"/>
          <w:sz w:val="24"/>
          <w:szCs w:val="24"/>
        </w:rPr>
        <w:t>Sanofi-aventis</w:t>
      </w:r>
      <w:proofErr w:type="spellEnd"/>
      <w:r w:rsidR="4BA8576E" w:rsidRPr="00E204F6">
        <w:rPr>
          <w:rFonts w:ascii="Times New Roman" w:eastAsiaTheme="minorEastAsia" w:hAnsi="Times New Roman" w:cs="Times New Roman"/>
          <w:sz w:val="24"/>
          <w:szCs w:val="24"/>
        </w:rPr>
        <w:t xml:space="preserve">) in combination with </w:t>
      </w:r>
      <w:r w:rsidR="22EB753A" w:rsidRPr="00E204F6">
        <w:rPr>
          <w:rFonts w:ascii="Times New Roman" w:eastAsiaTheme="minorEastAsia" w:hAnsi="Times New Roman" w:cs="Times New Roman"/>
          <w:sz w:val="24"/>
          <w:szCs w:val="24"/>
        </w:rPr>
        <w:t>Prednisone</w:t>
      </w:r>
      <w:r w:rsidR="4BA8576E" w:rsidRPr="00E204F6">
        <w:rPr>
          <w:rFonts w:ascii="Times New Roman" w:eastAsiaTheme="minorEastAsia" w:hAnsi="Times New Roman" w:cs="Times New Roman"/>
          <w:sz w:val="24"/>
          <w:szCs w:val="24"/>
        </w:rPr>
        <w:t>.</w:t>
      </w:r>
      <w:r w:rsidR="10C1CF83" w:rsidRPr="00E204F6">
        <w:rPr>
          <w:rFonts w:ascii="Times New Roman" w:eastAsiaTheme="minorEastAsia" w:hAnsi="Times New Roman" w:cs="Times New Roman"/>
          <w:sz w:val="24"/>
          <w:szCs w:val="24"/>
        </w:rPr>
        <w:t xml:space="preserve"> The </w:t>
      </w:r>
      <w:r w:rsidR="10C1CF83" w:rsidRPr="00E204F6">
        <w:rPr>
          <w:rFonts w:ascii="Times New Roman" w:eastAsia="Times New Roman" w:hAnsi="Times New Roman" w:cs="Times New Roman"/>
          <w:sz w:val="24"/>
          <w:szCs w:val="24"/>
        </w:rPr>
        <w:t xml:space="preserve">individuals </w:t>
      </w:r>
      <w:r w:rsidR="10E35B90" w:rsidRPr="00E204F6">
        <w:rPr>
          <w:rFonts w:ascii="Times New Roman" w:eastAsia="Times New Roman" w:hAnsi="Times New Roman" w:cs="Times New Roman"/>
          <w:sz w:val="24"/>
          <w:szCs w:val="24"/>
        </w:rPr>
        <w:t xml:space="preserve">receive 10 mg of oral </w:t>
      </w:r>
      <w:r w:rsidR="22EB753A" w:rsidRPr="00E204F6">
        <w:rPr>
          <w:rFonts w:ascii="Times New Roman" w:eastAsia="Times New Roman" w:hAnsi="Times New Roman" w:cs="Times New Roman"/>
          <w:sz w:val="24"/>
          <w:szCs w:val="24"/>
        </w:rPr>
        <w:t>Prednisone</w:t>
      </w:r>
      <w:r w:rsidR="19128203" w:rsidRPr="00E204F6">
        <w:rPr>
          <w:rFonts w:ascii="Times New Roman" w:eastAsia="Times New Roman" w:hAnsi="Times New Roman" w:cs="Times New Roman"/>
          <w:sz w:val="24"/>
          <w:szCs w:val="24"/>
        </w:rPr>
        <w:t xml:space="preserve"> daily</w:t>
      </w:r>
      <w:r w:rsidR="10E35B90" w:rsidRPr="00E204F6">
        <w:rPr>
          <w:rFonts w:ascii="Times New Roman" w:eastAsia="Times New Roman" w:hAnsi="Times New Roman" w:cs="Times New Roman"/>
          <w:sz w:val="24"/>
          <w:szCs w:val="24"/>
        </w:rPr>
        <w:t xml:space="preserve"> and </w:t>
      </w:r>
      <w:r w:rsidR="52B50688" w:rsidRPr="00E204F6">
        <w:rPr>
          <w:rFonts w:ascii="Times New Roman" w:eastAsia="Times New Roman" w:hAnsi="Times New Roman" w:cs="Times New Roman"/>
          <w:sz w:val="24"/>
          <w:szCs w:val="24"/>
        </w:rPr>
        <w:t>25 mg/ m</w:t>
      </w:r>
      <w:r w:rsidR="52B50688" w:rsidRPr="00E204F6">
        <w:rPr>
          <w:rFonts w:ascii="Times New Roman" w:eastAsia="Times New Roman" w:hAnsi="Times New Roman" w:cs="Times New Roman"/>
          <w:sz w:val="24"/>
          <w:szCs w:val="24"/>
          <w:vertAlign w:val="superscript"/>
        </w:rPr>
        <w:t xml:space="preserve">2  </w:t>
      </w:r>
      <w:r w:rsidR="77EA56D4" w:rsidRPr="00E204F6">
        <w:rPr>
          <w:rFonts w:ascii="Times New Roman" w:eastAsia="Times New Roman" w:hAnsi="Times New Roman" w:cs="Times New Roman"/>
          <w:sz w:val="24"/>
          <w:szCs w:val="24"/>
        </w:rPr>
        <w:t>Cabazitaxel</w:t>
      </w:r>
      <w:r w:rsidR="1C6C2424" w:rsidRPr="00E204F6">
        <w:rPr>
          <w:rFonts w:ascii="Times New Roman" w:eastAsia="Times New Roman" w:hAnsi="Times New Roman" w:cs="Times New Roman"/>
          <w:sz w:val="24"/>
          <w:szCs w:val="24"/>
        </w:rPr>
        <w:t xml:space="preserve"> on day one of each 21-day cycle.</w:t>
      </w:r>
      <w:r w:rsidR="73E8A591" w:rsidRPr="00E204F6">
        <w:rPr>
          <w:rFonts w:ascii="Times New Roman" w:eastAsia="Times New Roman" w:hAnsi="Times New Roman" w:cs="Times New Roman"/>
          <w:sz w:val="24"/>
          <w:szCs w:val="24"/>
        </w:rPr>
        <w:t xml:space="preserve"> </w:t>
      </w:r>
      <w:r w:rsidR="77EA56D4" w:rsidRPr="00E204F6">
        <w:rPr>
          <w:rFonts w:ascii="Times New Roman" w:eastAsia="Times New Roman" w:hAnsi="Times New Roman" w:cs="Times New Roman"/>
          <w:sz w:val="24"/>
          <w:szCs w:val="24"/>
        </w:rPr>
        <w:t>Cabazitaxel</w:t>
      </w:r>
      <w:r w:rsidR="73E8A591" w:rsidRPr="00E204F6">
        <w:rPr>
          <w:rFonts w:ascii="Times New Roman" w:eastAsia="Times New Roman" w:hAnsi="Times New Roman" w:cs="Times New Roman"/>
          <w:sz w:val="24"/>
          <w:szCs w:val="24"/>
        </w:rPr>
        <w:t xml:space="preserve"> is administered intravenously (via IV) over 1 hour.</w:t>
      </w:r>
      <w:r w:rsidR="11C942E5" w:rsidRPr="00E204F6">
        <w:rPr>
          <w:rFonts w:ascii="Times New Roman" w:eastAsia="Times New Roman" w:hAnsi="Times New Roman" w:cs="Times New Roman"/>
          <w:sz w:val="24"/>
          <w:szCs w:val="24"/>
        </w:rPr>
        <w:t xml:space="preserve"> </w:t>
      </w:r>
      <w:r w:rsidR="2A766FE0" w:rsidRPr="00E204F6">
        <w:rPr>
          <w:rFonts w:ascii="Times New Roman" w:eastAsia="Times New Roman" w:hAnsi="Times New Roman" w:cs="Times New Roman"/>
          <w:sz w:val="24"/>
          <w:szCs w:val="24"/>
        </w:rPr>
        <w:t>The intervention is continued for a maximum of ten cycles</w:t>
      </w:r>
      <w:r w:rsidR="706CEDAA" w:rsidRPr="00E204F6">
        <w:rPr>
          <w:rFonts w:ascii="Times New Roman" w:eastAsia="Times New Roman" w:hAnsi="Times New Roman" w:cs="Times New Roman"/>
          <w:sz w:val="24"/>
          <w:szCs w:val="24"/>
        </w:rPr>
        <w:t>.</w:t>
      </w:r>
    </w:p>
    <w:p w14:paraId="3B4883D3" w14:textId="1553C170" w:rsidR="76C0B922" w:rsidRPr="00E204F6" w:rsidRDefault="76C0B922" w:rsidP="76C0B922">
      <w:pPr>
        <w:rPr>
          <w:rFonts w:ascii="Times New Roman" w:eastAsia="Times New Roman" w:hAnsi="Times New Roman" w:cs="Times New Roman"/>
          <w:sz w:val="12"/>
          <w:szCs w:val="12"/>
        </w:rPr>
      </w:pPr>
    </w:p>
    <w:p w14:paraId="009A8AA6" w14:textId="52B21A16" w:rsidR="005B1FB3" w:rsidRPr="00E204F6" w:rsidRDefault="00634986" w:rsidP="76C0B922">
      <w:pPr>
        <w:spacing w:after="0"/>
        <w:rPr>
          <w:rFonts w:ascii="Times New Roman" w:eastAsiaTheme="minorEastAsia" w:hAnsi="Times New Roman" w:cs="Times New Roman"/>
          <w:i/>
          <w:iCs/>
          <w:sz w:val="24"/>
          <w:szCs w:val="24"/>
        </w:rPr>
      </w:pPr>
      <w:r w:rsidRPr="00E204F6">
        <w:rPr>
          <w:rFonts w:ascii="Times New Roman" w:eastAsia="Times New Roman" w:hAnsi="Times New Roman" w:cs="Times New Roman"/>
          <w:i/>
          <w:iCs/>
          <w:sz w:val="24"/>
          <w:szCs w:val="24"/>
        </w:rPr>
        <w:t>Comparator</w:t>
      </w:r>
    </w:p>
    <w:p w14:paraId="3094833F" w14:textId="4E0CE464" w:rsidR="1506F1F7" w:rsidRPr="00E204F6" w:rsidRDefault="1506F1F7" w:rsidP="76C0B922">
      <w:pPr>
        <w:rPr>
          <w:rFonts w:ascii="Times New Roman" w:eastAsia="Times New Roman" w:hAnsi="Times New Roman" w:cs="Times New Roman"/>
          <w:sz w:val="24"/>
          <w:szCs w:val="24"/>
        </w:rPr>
      </w:pPr>
      <w:r w:rsidRPr="00E204F6">
        <w:rPr>
          <w:rFonts w:ascii="Times New Roman" w:eastAsiaTheme="minorEastAsia" w:hAnsi="Times New Roman" w:cs="Times New Roman"/>
          <w:sz w:val="24"/>
          <w:szCs w:val="24"/>
        </w:rPr>
        <w:t xml:space="preserve">The </w:t>
      </w:r>
      <w:r w:rsidR="7C0570B7" w:rsidRPr="00E204F6">
        <w:rPr>
          <w:rFonts w:ascii="Times New Roman" w:eastAsiaTheme="minorEastAsia" w:hAnsi="Times New Roman" w:cs="Times New Roman"/>
          <w:sz w:val="24"/>
          <w:szCs w:val="24"/>
        </w:rPr>
        <w:t>comparator</w:t>
      </w:r>
      <w:r w:rsidRPr="00E204F6">
        <w:rPr>
          <w:rFonts w:ascii="Times New Roman" w:eastAsiaTheme="minorEastAsia" w:hAnsi="Times New Roman" w:cs="Times New Roman"/>
          <w:sz w:val="24"/>
          <w:szCs w:val="24"/>
        </w:rPr>
        <w:t xml:space="preserve"> is </w:t>
      </w:r>
      <w:r w:rsidR="504D4DAB" w:rsidRPr="00E204F6">
        <w:rPr>
          <w:rFonts w:ascii="Times New Roman" w:eastAsiaTheme="minorEastAsia" w:hAnsi="Times New Roman" w:cs="Times New Roman"/>
          <w:sz w:val="24"/>
          <w:szCs w:val="24"/>
        </w:rPr>
        <w:t xml:space="preserve">the standard clinical practice for second line treatment in patients with </w:t>
      </w:r>
      <w:proofErr w:type="spellStart"/>
      <w:r w:rsidR="5C13367D" w:rsidRPr="00E204F6">
        <w:rPr>
          <w:rFonts w:ascii="Times New Roman" w:eastAsiaTheme="minorEastAsia" w:hAnsi="Times New Roman" w:cs="Times New Roman"/>
          <w:sz w:val="24"/>
          <w:szCs w:val="24"/>
        </w:rPr>
        <w:t>m</w:t>
      </w:r>
      <w:r w:rsidR="504D4DAB" w:rsidRPr="00E204F6">
        <w:rPr>
          <w:rFonts w:ascii="Times New Roman" w:eastAsiaTheme="minorEastAsia" w:hAnsi="Times New Roman" w:cs="Times New Roman"/>
          <w:sz w:val="24"/>
          <w:szCs w:val="24"/>
        </w:rPr>
        <w:t>CRPC</w:t>
      </w:r>
      <w:proofErr w:type="spellEnd"/>
      <w:r w:rsidR="504D4DAB" w:rsidRPr="00E204F6">
        <w:rPr>
          <w:rFonts w:ascii="Times New Roman" w:eastAsiaTheme="minorEastAsia" w:hAnsi="Times New Roman" w:cs="Times New Roman"/>
          <w:sz w:val="24"/>
          <w:szCs w:val="24"/>
        </w:rPr>
        <w:t xml:space="preserve"> in the </w:t>
      </w:r>
      <w:r w:rsidR="504D4DAB" w:rsidRPr="00E204F6">
        <w:rPr>
          <w:rFonts w:ascii="Times New Roman" w:eastAsia="Times New Roman" w:hAnsi="Times New Roman" w:cs="Times New Roman"/>
          <w:sz w:val="24"/>
          <w:szCs w:val="24"/>
        </w:rPr>
        <w:t>UK.</w:t>
      </w:r>
      <w:r w:rsidR="34A5EEC1" w:rsidRPr="00E204F6">
        <w:rPr>
          <w:rFonts w:ascii="Times New Roman" w:eastAsia="Times New Roman" w:hAnsi="Times New Roman" w:cs="Times New Roman"/>
          <w:sz w:val="24"/>
          <w:szCs w:val="24"/>
        </w:rPr>
        <w:t xml:space="preserve"> </w:t>
      </w:r>
      <w:r w:rsidR="46BEF7D5" w:rsidRPr="00E204F6">
        <w:rPr>
          <w:rFonts w:ascii="Times New Roman" w:eastAsia="Times New Roman" w:hAnsi="Times New Roman" w:cs="Times New Roman"/>
          <w:sz w:val="24"/>
          <w:szCs w:val="24"/>
        </w:rPr>
        <w:t xml:space="preserve">This involves </w:t>
      </w:r>
      <w:r w:rsidR="2E1C6553" w:rsidRPr="00E204F6">
        <w:rPr>
          <w:rFonts w:ascii="Times New Roman" w:eastAsia="Times New Roman" w:hAnsi="Times New Roman" w:cs="Times New Roman"/>
          <w:sz w:val="24"/>
          <w:szCs w:val="24"/>
        </w:rPr>
        <w:t>Mitoxantrone</w:t>
      </w:r>
      <w:r w:rsidRPr="00E204F6">
        <w:rPr>
          <w:rFonts w:ascii="Times New Roman" w:eastAsia="Times New Roman" w:hAnsi="Times New Roman" w:cs="Times New Roman"/>
          <w:sz w:val="24"/>
          <w:szCs w:val="24"/>
        </w:rPr>
        <w:t xml:space="preserve"> in combination with </w:t>
      </w:r>
      <w:r w:rsidR="22EB753A" w:rsidRPr="00E204F6">
        <w:rPr>
          <w:rFonts w:ascii="Times New Roman" w:eastAsia="Times New Roman" w:hAnsi="Times New Roman" w:cs="Times New Roman"/>
          <w:sz w:val="24"/>
          <w:szCs w:val="24"/>
        </w:rPr>
        <w:t>Prednisone</w:t>
      </w:r>
      <w:r w:rsidRPr="00E204F6">
        <w:rPr>
          <w:rFonts w:ascii="Times New Roman" w:eastAsia="Times New Roman" w:hAnsi="Times New Roman" w:cs="Times New Roman"/>
          <w:sz w:val="24"/>
          <w:szCs w:val="24"/>
        </w:rPr>
        <w:t xml:space="preserve">. The individuals receive 10 mg of oral </w:t>
      </w:r>
      <w:r w:rsidR="22EB753A" w:rsidRPr="00E204F6">
        <w:rPr>
          <w:rFonts w:ascii="Times New Roman" w:eastAsia="Times New Roman" w:hAnsi="Times New Roman" w:cs="Times New Roman"/>
          <w:sz w:val="24"/>
          <w:szCs w:val="24"/>
        </w:rPr>
        <w:t>Prednisone</w:t>
      </w:r>
      <w:r w:rsidR="0668D2D9" w:rsidRPr="00E204F6">
        <w:rPr>
          <w:rFonts w:ascii="Times New Roman" w:eastAsia="Times New Roman" w:hAnsi="Times New Roman" w:cs="Times New Roman"/>
          <w:sz w:val="24"/>
          <w:szCs w:val="24"/>
        </w:rPr>
        <w:t xml:space="preserve"> daily</w:t>
      </w:r>
      <w:r w:rsidRPr="00E204F6">
        <w:rPr>
          <w:rFonts w:ascii="Times New Roman" w:eastAsia="Times New Roman" w:hAnsi="Times New Roman" w:cs="Times New Roman"/>
          <w:sz w:val="24"/>
          <w:szCs w:val="24"/>
        </w:rPr>
        <w:t xml:space="preserve"> and </w:t>
      </w:r>
      <w:r w:rsidR="16D5522E" w:rsidRPr="00E204F6">
        <w:rPr>
          <w:rFonts w:ascii="Times New Roman" w:eastAsia="Times New Roman" w:hAnsi="Times New Roman" w:cs="Times New Roman"/>
          <w:sz w:val="24"/>
          <w:szCs w:val="24"/>
        </w:rPr>
        <w:t>12</w:t>
      </w:r>
      <w:r w:rsidRPr="00E204F6">
        <w:rPr>
          <w:rFonts w:ascii="Times New Roman" w:eastAsia="Times New Roman" w:hAnsi="Times New Roman" w:cs="Times New Roman"/>
          <w:sz w:val="24"/>
          <w:szCs w:val="24"/>
        </w:rPr>
        <w:t xml:space="preserve"> mg/ m</w:t>
      </w:r>
      <w:r w:rsidRPr="00E204F6">
        <w:rPr>
          <w:rFonts w:ascii="Times New Roman" w:eastAsia="Times New Roman" w:hAnsi="Times New Roman" w:cs="Times New Roman"/>
          <w:sz w:val="24"/>
          <w:szCs w:val="24"/>
          <w:vertAlign w:val="superscript"/>
        </w:rPr>
        <w:t xml:space="preserve">2 </w:t>
      </w:r>
      <w:r w:rsidR="2E1C6553" w:rsidRPr="00E204F6">
        <w:rPr>
          <w:rFonts w:ascii="Times New Roman" w:eastAsia="Times New Roman" w:hAnsi="Times New Roman" w:cs="Times New Roman"/>
          <w:sz w:val="24"/>
          <w:szCs w:val="24"/>
        </w:rPr>
        <w:t>Mitoxantrone</w:t>
      </w:r>
      <w:r w:rsidR="6E93372A" w:rsidRPr="00E204F6">
        <w:rPr>
          <w:rFonts w:ascii="Times New Roman" w:eastAsia="Times New Roman" w:hAnsi="Times New Roman" w:cs="Times New Roman"/>
          <w:sz w:val="24"/>
          <w:szCs w:val="24"/>
        </w:rPr>
        <w:t xml:space="preserve"> </w:t>
      </w:r>
      <w:r w:rsidRPr="00E204F6">
        <w:rPr>
          <w:rFonts w:ascii="Times New Roman" w:eastAsia="Times New Roman" w:hAnsi="Times New Roman" w:cs="Times New Roman"/>
          <w:sz w:val="24"/>
          <w:szCs w:val="24"/>
        </w:rPr>
        <w:t xml:space="preserve">on day one of each 21-day cycle. </w:t>
      </w:r>
      <w:r w:rsidR="2E1C6553" w:rsidRPr="00E204F6">
        <w:rPr>
          <w:rFonts w:ascii="Times New Roman" w:eastAsia="Times New Roman" w:hAnsi="Times New Roman" w:cs="Times New Roman"/>
          <w:sz w:val="24"/>
          <w:szCs w:val="24"/>
        </w:rPr>
        <w:t>Mitoxantrone</w:t>
      </w:r>
      <w:r w:rsidRPr="00E204F6">
        <w:rPr>
          <w:rFonts w:ascii="Times New Roman" w:eastAsia="Times New Roman" w:hAnsi="Times New Roman" w:cs="Times New Roman"/>
          <w:sz w:val="24"/>
          <w:szCs w:val="24"/>
        </w:rPr>
        <w:t xml:space="preserve"> is administered intravenously (via IV) over </w:t>
      </w:r>
      <w:r w:rsidR="138692BC" w:rsidRPr="00E204F6">
        <w:rPr>
          <w:rFonts w:ascii="Times New Roman" w:eastAsia="Times New Roman" w:hAnsi="Times New Roman" w:cs="Times New Roman"/>
          <w:sz w:val="24"/>
          <w:szCs w:val="24"/>
        </w:rPr>
        <w:t>15-30 minutes</w:t>
      </w:r>
      <w:r w:rsidRPr="00E204F6">
        <w:rPr>
          <w:rFonts w:ascii="Times New Roman" w:eastAsia="Times New Roman" w:hAnsi="Times New Roman" w:cs="Times New Roman"/>
          <w:sz w:val="24"/>
          <w:szCs w:val="24"/>
        </w:rPr>
        <w:t xml:space="preserve">. The </w:t>
      </w:r>
      <w:r w:rsidR="48196B8B" w:rsidRPr="00E204F6">
        <w:rPr>
          <w:rFonts w:ascii="Times New Roman" w:eastAsia="Times New Roman" w:hAnsi="Times New Roman" w:cs="Times New Roman"/>
          <w:sz w:val="24"/>
          <w:szCs w:val="24"/>
        </w:rPr>
        <w:t>comparator</w:t>
      </w:r>
      <w:r w:rsidRPr="00E204F6">
        <w:rPr>
          <w:rFonts w:ascii="Times New Roman" w:eastAsia="Times New Roman" w:hAnsi="Times New Roman" w:cs="Times New Roman"/>
          <w:sz w:val="24"/>
          <w:szCs w:val="24"/>
        </w:rPr>
        <w:t xml:space="preserve"> is continued for a maximum of ten cycles, </w:t>
      </w:r>
      <w:r w:rsidR="3AB2AFA5" w:rsidRPr="00E204F6">
        <w:rPr>
          <w:rFonts w:ascii="Times New Roman" w:eastAsia="Times New Roman" w:hAnsi="Times New Roman" w:cs="Times New Roman"/>
          <w:sz w:val="24"/>
          <w:szCs w:val="24"/>
        </w:rPr>
        <w:t xml:space="preserve">to minimise the risk of </w:t>
      </w:r>
      <w:r w:rsidR="2E1C6553" w:rsidRPr="00E204F6">
        <w:rPr>
          <w:rFonts w:ascii="Times New Roman" w:eastAsia="Times New Roman" w:hAnsi="Times New Roman" w:cs="Times New Roman"/>
          <w:sz w:val="24"/>
          <w:szCs w:val="24"/>
        </w:rPr>
        <w:t>Mitoxantrone</w:t>
      </w:r>
      <w:r w:rsidR="3AB2AFA5" w:rsidRPr="00E204F6">
        <w:rPr>
          <w:rFonts w:ascii="Times New Roman" w:eastAsia="Times New Roman" w:hAnsi="Times New Roman" w:cs="Times New Roman"/>
          <w:sz w:val="24"/>
          <w:szCs w:val="24"/>
        </w:rPr>
        <w:t>-induced cardiac toxicity</w:t>
      </w:r>
      <w:r w:rsidR="0C9D8DD5" w:rsidRPr="00E204F6">
        <w:rPr>
          <w:rFonts w:ascii="Times New Roman" w:eastAsia="Times New Roman" w:hAnsi="Times New Roman" w:cs="Times New Roman"/>
          <w:sz w:val="24"/>
          <w:szCs w:val="24"/>
        </w:rPr>
        <w:t xml:space="preserve">, while </w:t>
      </w:r>
      <w:r w:rsidR="7F3044A1" w:rsidRPr="00E204F6">
        <w:rPr>
          <w:rFonts w:ascii="Times New Roman" w:eastAsia="Times New Roman" w:hAnsi="Times New Roman" w:cs="Times New Roman"/>
          <w:sz w:val="24"/>
          <w:szCs w:val="24"/>
        </w:rPr>
        <w:t>ensuring</w:t>
      </w:r>
      <w:r w:rsidR="3AB2AFA5" w:rsidRPr="00E204F6">
        <w:rPr>
          <w:rFonts w:ascii="Times New Roman" w:eastAsia="Times New Roman" w:hAnsi="Times New Roman" w:cs="Times New Roman"/>
          <w:sz w:val="24"/>
          <w:szCs w:val="24"/>
        </w:rPr>
        <w:t xml:space="preserve"> comparable exposure to the treatment</w:t>
      </w:r>
      <w:r w:rsidR="322D54EA" w:rsidRPr="00E204F6">
        <w:rPr>
          <w:rFonts w:ascii="Times New Roman" w:eastAsia="Times New Roman" w:hAnsi="Times New Roman" w:cs="Times New Roman"/>
          <w:sz w:val="24"/>
          <w:szCs w:val="24"/>
        </w:rPr>
        <w:t xml:space="preserve"> and a similar evaluation schedule</w:t>
      </w:r>
      <w:r w:rsidR="3AB2AFA5" w:rsidRPr="00E204F6">
        <w:rPr>
          <w:rFonts w:ascii="Times New Roman" w:eastAsia="Times New Roman" w:hAnsi="Times New Roman" w:cs="Times New Roman"/>
          <w:sz w:val="24"/>
          <w:szCs w:val="24"/>
        </w:rPr>
        <w:t xml:space="preserve"> (</w:t>
      </w:r>
      <w:r w:rsidR="0D7BCF02" w:rsidRPr="00E204F6">
        <w:rPr>
          <w:rFonts w:ascii="Times New Roman" w:eastAsia="Times New Roman" w:hAnsi="Times New Roman" w:cs="Times New Roman"/>
          <w:sz w:val="24"/>
          <w:szCs w:val="24"/>
        </w:rPr>
        <w:t>De B</w:t>
      </w:r>
      <w:r w:rsidR="385BC8A1" w:rsidRPr="00E204F6">
        <w:rPr>
          <w:rFonts w:ascii="Times New Roman" w:eastAsia="Times New Roman" w:hAnsi="Times New Roman" w:cs="Times New Roman"/>
          <w:sz w:val="24"/>
          <w:szCs w:val="24"/>
        </w:rPr>
        <w:t xml:space="preserve">ono et al., 2010). </w:t>
      </w:r>
    </w:p>
    <w:p w14:paraId="3C020D01" w14:textId="649F5283" w:rsidR="76C0B922" w:rsidRPr="00E204F6" w:rsidRDefault="76C0B922" w:rsidP="76C0B922">
      <w:pPr>
        <w:rPr>
          <w:rFonts w:ascii="Times New Roman" w:eastAsia="Times New Roman" w:hAnsi="Times New Roman" w:cs="Times New Roman"/>
          <w:sz w:val="12"/>
          <w:szCs w:val="12"/>
        </w:rPr>
      </w:pPr>
    </w:p>
    <w:p w14:paraId="46221F01" w14:textId="10AF8122" w:rsidR="005B1FB3" w:rsidRPr="00E204F6" w:rsidRDefault="00634986" w:rsidP="76C0B922">
      <w:pPr>
        <w:spacing w:after="0"/>
        <w:rPr>
          <w:rFonts w:ascii="Times New Roman" w:eastAsiaTheme="minorEastAsia" w:hAnsi="Times New Roman" w:cs="Times New Roman"/>
          <w:i/>
          <w:iCs/>
          <w:sz w:val="24"/>
          <w:szCs w:val="24"/>
        </w:rPr>
      </w:pPr>
      <w:r w:rsidRPr="00E204F6">
        <w:rPr>
          <w:rFonts w:ascii="Times New Roman" w:eastAsia="Times New Roman" w:hAnsi="Times New Roman" w:cs="Times New Roman"/>
          <w:i/>
          <w:iCs/>
          <w:sz w:val="24"/>
          <w:szCs w:val="24"/>
        </w:rPr>
        <w:t>Outcome</w:t>
      </w:r>
      <w:r w:rsidR="4EC6E23B" w:rsidRPr="00E204F6">
        <w:rPr>
          <w:rFonts w:ascii="Times New Roman" w:eastAsiaTheme="minorEastAsia" w:hAnsi="Times New Roman" w:cs="Times New Roman"/>
          <w:i/>
          <w:iCs/>
          <w:sz w:val="24"/>
          <w:szCs w:val="24"/>
        </w:rPr>
        <w:t xml:space="preserve"> </w:t>
      </w:r>
      <w:r w:rsidRPr="00E204F6">
        <w:rPr>
          <w:rFonts w:ascii="Times New Roman" w:eastAsiaTheme="minorEastAsia" w:hAnsi="Times New Roman" w:cs="Times New Roman"/>
          <w:i/>
          <w:iCs/>
          <w:sz w:val="24"/>
          <w:szCs w:val="24"/>
        </w:rPr>
        <w:t>used</w:t>
      </w:r>
    </w:p>
    <w:p w14:paraId="190A3759" w14:textId="1F8F6B29" w:rsidR="6C2F9064" w:rsidRDefault="52FBD863" w:rsidP="5C731B8B">
      <w:pPr>
        <w:rPr>
          <w:rFonts w:ascii="Times New Roman" w:eastAsia="Times New Roman" w:hAnsi="Times New Roman" w:cs="Times New Roman"/>
          <w:sz w:val="24"/>
          <w:szCs w:val="24"/>
        </w:rPr>
      </w:pPr>
      <w:r w:rsidRPr="30076135">
        <w:rPr>
          <w:rFonts w:ascii="Times New Roman" w:eastAsiaTheme="minorEastAsia" w:hAnsi="Times New Roman" w:cs="Times New Roman"/>
          <w:sz w:val="24"/>
          <w:szCs w:val="24"/>
        </w:rPr>
        <w:t>This study will be conducted as a</w:t>
      </w:r>
      <w:r w:rsidR="1DBDDB3D" w:rsidRPr="30076135">
        <w:rPr>
          <w:rFonts w:ascii="Times New Roman" w:eastAsiaTheme="minorEastAsia" w:hAnsi="Times New Roman" w:cs="Times New Roman"/>
          <w:sz w:val="24"/>
          <w:szCs w:val="24"/>
        </w:rPr>
        <w:t xml:space="preserve"> </w:t>
      </w:r>
      <w:r w:rsidRPr="30076135">
        <w:rPr>
          <w:rFonts w:ascii="Times New Roman" w:eastAsiaTheme="minorEastAsia" w:hAnsi="Times New Roman" w:cs="Times New Roman"/>
          <w:sz w:val="24"/>
          <w:szCs w:val="24"/>
        </w:rPr>
        <w:t>C</w:t>
      </w:r>
      <w:r w:rsidR="067CB53D" w:rsidRPr="30076135">
        <w:rPr>
          <w:rFonts w:ascii="Times New Roman" w:eastAsiaTheme="minorEastAsia" w:hAnsi="Times New Roman" w:cs="Times New Roman"/>
          <w:sz w:val="24"/>
          <w:szCs w:val="24"/>
        </w:rPr>
        <w:t>ost-utility analysis (C</w:t>
      </w:r>
      <w:r w:rsidRPr="30076135">
        <w:rPr>
          <w:rFonts w:ascii="Times New Roman" w:eastAsiaTheme="minorEastAsia" w:hAnsi="Times New Roman" w:cs="Times New Roman"/>
          <w:sz w:val="24"/>
          <w:szCs w:val="24"/>
        </w:rPr>
        <w:t>UA</w:t>
      </w:r>
      <w:r w:rsidR="1EC851FF" w:rsidRPr="30076135">
        <w:rPr>
          <w:rFonts w:ascii="Times New Roman" w:eastAsiaTheme="minorEastAsia" w:hAnsi="Times New Roman" w:cs="Times New Roman"/>
          <w:sz w:val="24"/>
          <w:szCs w:val="24"/>
        </w:rPr>
        <w:t>)</w:t>
      </w:r>
      <w:r w:rsidR="61FD5BEA" w:rsidRPr="30076135">
        <w:rPr>
          <w:rFonts w:ascii="Times New Roman" w:eastAsiaTheme="minorEastAsia" w:hAnsi="Times New Roman" w:cs="Times New Roman"/>
          <w:sz w:val="24"/>
          <w:szCs w:val="24"/>
        </w:rPr>
        <w:t>,</w:t>
      </w:r>
      <w:r w:rsidRPr="30076135">
        <w:rPr>
          <w:rFonts w:ascii="Times New Roman" w:eastAsiaTheme="minorEastAsia" w:hAnsi="Times New Roman" w:cs="Times New Roman"/>
          <w:sz w:val="24"/>
          <w:szCs w:val="24"/>
        </w:rPr>
        <w:t xml:space="preserve"> with the outcome reported as an</w:t>
      </w:r>
      <w:r w:rsidR="524714EB" w:rsidRPr="30076135">
        <w:rPr>
          <w:rFonts w:ascii="Times New Roman" w:eastAsiaTheme="minorEastAsia" w:hAnsi="Times New Roman" w:cs="Times New Roman"/>
          <w:sz w:val="24"/>
          <w:szCs w:val="24"/>
        </w:rPr>
        <w:t xml:space="preserve"> </w:t>
      </w:r>
      <w:r w:rsidRPr="30076135">
        <w:rPr>
          <w:rFonts w:ascii="Times New Roman" w:eastAsiaTheme="minorEastAsia" w:hAnsi="Times New Roman" w:cs="Times New Roman"/>
          <w:sz w:val="24"/>
          <w:szCs w:val="24"/>
        </w:rPr>
        <w:t>ICER. CU</w:t>
      </w:r>
      <w:r w:rsidRPr="30076135">
        <w:rPr>
          <w:rFonts w:ascii="Times New Roman" w:eastAsia="Times New Roman" w:hAnsi="Times New Roman" w:cs="Times New Roman"/>
          <w:sz w:val="24"/>
          <w:szCs w:val="24"/>
        </w:rPr>
        <w:t xml:space="preserve">A is </w:t>
      </w:r>
      <w:r w:rsidR="71229A0B" w:rsidRPr="30076135">
        <w:rPr>
          <w:rFonts w:ascii="Times New Roman" w:eastAsia="Times New Roman" w:hAnsi="Times New Roman" w:cs="Times New Roman"/>
          <w:sz w:val="24"/>
          <w:szCs w:val="24"/>
        </w:rPr>
        <w:t xml:space="preserve">a </w:t>
      </w:r>
      <w:r w:rsidRPr="30076135">
        <w:rPr>
          <w:rFonts w:ascii="Times New Roman" w:eastAsia="Times New Roman" w:hAnsi="Times New Roman" w:cs="Times New Roman"/>
          <w:sz w:val="24"/>
          <w:szCs w:val="24"/>
        </w:rPr>
        <w:t xml:space="preserve">requirement of NICE with health outcomes measured in QALYs and resource costs and savings taken from the perspective of the NHS and personal social services (NICE guidelines). The ICER reflects the ratio of the </w:t>
      </w:r>
      <w:r w:rsidR="1402883F" w:rsidRPr="30076135">
        <w:rPr>
          <w:rFonts w:ascii="Times New Roman" w:eastAsia="Times New Roman" w:hAnsi="Times New Roman" w:cs="Times New Roman"/>
          <w:sz w:val="24"/>
          <w:szCs w:val="24"/>
        </w:rPr>
        <w:t xml:space="preserve">incremental cost to incremental QALYs compared to the comparator (here </w:t>
      </w:r>
      <w:r w:rsidR="2E1C6553" w:rsidRPr="30076135">
        <w:rPr>
          <w:rFonts w:ascii="Times New Roman" w:eastAsia="Times New Roman" w:hAnsi="Times New Roman" w:cs="Times New Roman"/>
          <w:sz w:val="24"/>
          <w:szCs w:val="24"/>
        </w:rPr>
        <w:t>Mitoxantrone</w:t>
      </w:r>
      <w:r w:rsidR="1402883F" w:rsidRPr="30076135">
        <w:rPr>
          <w:rFonts w:ascii="Times New Roman" w:eastAsia="Times New Roman" w:hAnsi="Times New Roman" w:cs="Times New Roman"/>
          <w:sz w:val="24"/>
          <w:szCs w:val="24"/>
        </w:rPr>
        <w:t xml:space="preserve">) and can be used as an informative measure </w:t>
      </w:r>
      <w:r w:rsidR="1402883F" w:rsidRPr="30076135">
        <w:rPr>
          <w:rFonts w:ascii="Times New Roman" w:eastAsia="Times New Roman" w:hAnsi="Times New Roman" w:cs="Times New Roman"/>
          <w:sz w:val="24"/>
          <w:szCs w:val="24"/>
        </w:rPr>
        <w:lastRenderedPageBreak/>
        <w:t xml:space="preserve">to judge cost-effectiveness </w:t>
      </w:r>
      <w:r w:rsidRPr="30076135">
        <w:rPr>
          <w:rFonts w:ascii="Times New Roman" w:eastAsia="Times New Roman" w:hAnsi="Times New Roman" w:cs="Times New Roman"/>
          <w:sz w:val="24"/>
          <w:szCs w:val="24"/>
        </w:rPr>
        <w:t>(NICE, 20</w:t>
      </w:r>
      <w:r w:rsidR="555BCE86" w:rsidRPr="30076135">
        <w:rPr>
          <w:rFonts w:ascii="Times New Roman" w:eastAsia="Times New Roman" w:hAnsi="Times New Roman" w:cs="Times New Roman"/>
          <w:sz w:val="24"/>
          <w:szCs w:val="24"/>
        </w:rPr>
        <w:t>2</w:t>
      </w:r>
      <w:r w:rsidRPr="30076135">
        <w:rPr>
          <w:rFonts w:ascii="Times New Roman" w:eastAsia="Times New Roman" w:hAnsi="Times New Roman" w:cs="Times New Roman"/>
          <w:sz w:val="24"/>
          <w:szCs w:val="24"/>
        </w:rPr>
        <w:t xml:space="preserve">3; Drummond et al., 2015). </w:t>
      </w:r>
      <w:r w:rsidR="0A98BA2D" w:rsidRPr="30076135">
        <w:rPr>
          <w:rFonts w:ascii="Times New Roman" w:eastAsia="Times New Roman" w:hAnsi="Times New Roman" w:cs="Times New Roman"/>
          <w:sz w:val="24"/>
          <w:szCs w:val="24"/>
        </w:rPr>
        <w:t>QALYs were calculated by combining survival estimates from the TROPIC trial (De Bono et al., 2010; Bahl et al.,2013) with utility values derived from the UK Early Access Programme</w:t>
      </w:r>
      <w:r w:rsidR="2CB055BB" w:rsidRPr="30076135">
        <w:rPr>
          <w:rFonts w:ascii="Times New Roman" w:eastAsia="Times New Roman" w:hAnsi="Times New Roman" w:cs="Times New Roman"/>
          <w:sz w:val="24"/>
          <w:szCs w:val="24"/>
        </w:rPr>
        <w:t xml:space="preserve"> </w:t>
      </w:r>
      <w:r w:rsidR="1E8A53B9" w:rsidRPr="30076135">
        <w:rPr>
          <w:rFonts w:ascii="Times New Roman" w:eastAsia="Times New Roman" w:hAnsi="Times New Roman" w:cs="Times New Roman"/>
          <w:sz w:val="24"/>
          <w:szCs w:val="24"/>
        </w:rPr>
        <w:t xml:space="preserve">(EAP) </w:t>
      </w:r>
      <w:r w:rsidR="2CB055BB" w:rsidRPr="30076135">
        <w:rPr>
          <w:rFonts w:ascii="Times New Roman" w:eastAsia="Times New Roman" w:hAnsi="Times New Roman" w:cs="Times New Roman"/>
          <w:sz w:val="24"/>
          <w:szCs w:val="24"/>
        </w:rPr>
        <w:t>(Bahl et al., 2015), as described in the HRQoL section.</w:t>
      </w:r>
    </w:p>
    <w:p w14:paraId="75369B83" w14:textId="36DCDC5A" w:rsidR="005B1FB3" w:rsidRPr="00E204F6" w:rsidRDefault="63F749B9" w:rsidP="76C0B922">
      <w:pPr>
        <w:spacing w:after="0"/>
        <w:rPr>
          <w:rFonts w:ascii="Times New Roman" w:eastAsiaTheme="minorEastAsia" w:hAnsi="Times New Roman" w:cs="Times New Roman"/>
          <w:sz w:val="24"/>
          <w:szCs w:val="24"/>
        </w:rPr>
      </w:pPr>
      <w:r w:rsidRPr="00E204F6">
        <w:rPr>
          <w:rFonts w:ascii="Times New Roman" w:eastAsia="Times New Roman" w:hAnsi="Times New Roman" w:cs="Times New Roman"/>
          <w:sz w:val="24"/>
          <w:szCs w:val="24"/>
        </w:rPr>
        <w:t>The input</w:t>
      </w:r>
      <w:r w:rsidRPr="00E204F6">
        <w:rPr>
          <w:rFonts w:ascii="Times New Roman" w:eastAsiaTheme="minorEastAsia" w:hAnsi="Times New Roman" w:cs="Times New Roman"/>
          <w:sz w:val="24"/>
          <w:szCs w:val="24"/>
        </w:rPr>
        <w:t>s for the model are as follows:</w:t>
      </w:r>
    </w:p>
    <w:p w14:paraId="6FA584EB" w14:textId="0EF582AE" w:rsidR="005B1FB3" w:rsidRPr="00E204F6" w:rsidRDefault="63F749B9" w:rsidP="5C731B8B">
      <w:pPr>
        <w:pStyle w:val="ListParagraph"/>
        <w:numPr>
          <w:ilvl w:val="0"/>
          <w:numId w:val="6"/>
        </w:numPr>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Overall survival</w:t>
      </w:r>
      <w:r w:rsidR="309DEEF5" w:rsidRPr="00E204F6">
        <w:rPr>
          <w:rFonts w:ascii="Times New Roman" w:eastAsia="Times New Roman" w:hAnsi="Times New Roman" w:cs="Times New Roman"/>
          <w:sz w:val="24"/>
          <w:szCs w:val="24"/>
        </w:rPr>
        <w:t xml:space="preserve"> (OS)</w:t>
      </w:r>
      <w:r w:rsidR="20C995C5" w:rsidRPr="00E204F6">
        <w:rPr>
          <w:rFonts w:ascii="Times New Roman" w:eastAsia="Times New Roman" w:hAnsi="Times New Roman" w:cs="Times New Roman"/>
          <w:sz w:val="24"/>
          <w:szCs w:val="24"/>
        </w:rPr>
        <w:t>;</w:t>
      </w:r>
      <w:r w:rsidRPr="00E204F6">
        <w:rPr>
          <w:rFonts w:ascii="Times New Roman" w:eastAsia="Times New Roman" w:hAnsi="Times New Roman" w:cs="Times New Roman"/>
          <w:sz w:val="24"/>
          <w:szCs w:val="24"/>
        </w:rPr>
        <w:t xml:space="preserve"> </w:t>
      </w:r>
    </w:p>
    <w:p w14:paraId="2751DD23" w14:textId="626B673A" w:rsidR="005B1FB3" w:rsidRPr="00E204F6" w:rsidRDefault="63F749B9" w:rsidP="5C731B8B">
      <w:pPr>
        <w:pStyle w:val="ListParagraph"/>
        <w:numPr>
          <w:ilvl w:val="0"/>
          <w:numId w:val="6"/>
        </w:numPr>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Progression-free survival</w:t>
      </w:r>
      <w:r w:rsidR="6738501D" w:rsidRPr="00E204F6">
        <w:rPr>
          <w:rFonts w:ascii="Times New Roman" w:eastAsia="Times New Roman" w:hAnsi="Times New Roman" w:cs="Times New Roman"/>
          <w:sz w:val="24"/>
          <w:szCs w:val="24"/>
        </w:rPr>
        <w:t xml:space="preserve"> (PFS)</w:t>
      </w:r>
      <w:r w:rsidR="693190CA" w:rsidRPr="00E204F6">
        <w:rPr>
          <w:rFonts w:ascii="Times New Roman" w:eastAsia="Times New Roman" w:hAnsi="Times New Roman" w:cs="Times New Roman"/>
          <w:sz w:val="24"/>
          <w:szCs w:val="24"/>
        </w:rPr>
        <w:t>;</w:t>
      </w:r>
      <w:r w:rsidRPr="00E204F6">
        <w:rPr>
          <w:rFonts w:ascii="Times New Roman" w:eastAsia="Times New Roman" w:hAnsi="Times New Roman" w:cs="Times New Roman"/>
          <w:sz w:val="24"/>
          <w:szCs w:val="24"/>
        </w:rPr>
        <w:t xml:space="preserve"> </w:t>
      </w:r>
    </w:p>
    <w:p w14:paraId="4DDEAABC" w14:textId="3896A17D" w:rsidR="005B1FB3" w:rsidRPr="00E204F6" w:rsidRDefault="63F749B9" w:rsidP="5C731B8B">
      <w:pPr>
        <w:pStyle w:val="ListParagraph"/>
        <w:numPr>
          <w:ilvl w:val="0"/>
          <w:numId w:val="6"/>
        </w:numPr>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Adverse effects of treatment </w:t>
      </w:r>
      <w:r w:rsidR="002DCC9B" w:rsidRPr="00E204F6">
        <w:rPr>
          <w:rFonts w:ascii="Times New Roman" w:eastAsia="Times New Roman" w:hAnsi="Times New Roman" w:cs="Times New Roman"/>
          <w:sz w:val="24"/>
          <w:szCs w:val="24"/>
        </w:rPr>
        <w:t>(T</w:t>
      </w:r>
      <w:r w:rsidRPr="00E204F6">
        <w:rPr>
          <w:rFonts w:ascii="Times New Roman" w:eastAsia="Times New Roman" w:hAnsi="Times New Roman" w:cs="Times New Roman"/>
          <w:sz w:val="24"/>
          <w:szCs w:val="24"/>
        </w:rPr>
        <w:t xml:space="preserve">hese were graded against National Cancer Institute Common Terminology Criteria (NCICTC) for Adverse events. Further details can be found </w:t>
      </w:r>
      <w:r w:rsidR="64889DD8" w:rsidRPr="00E204F6">
        <w:rPr>
          <w:rFonts w:ascii="Times New Roman" w:eastAsia="Times New Roman" w:hAnsi="Times New Roman" w:cs="Times New Roman"/>
          <w:sz w:val="24"/>
          <w:szCs w:val="24"/>
        </w:rPr>
        <w:t xml:space="preserve">in </w:t>
      </w:r>
      <w:r w:rsidR="3A510701" w:rsidRPr="00E204F6">
        <w:rPr>
          <w:rFonts w:ascii="Times New Roman" w:eastAsia="Times New Roman" w:hAnsi="Times New Roman" w:cs="Times New Roman"/>
          <w:sz w:val="24"/>
          <w:szCs w:val="24"/>
        </w:rPr>
        <w:t>Table</w:t>
      </w:r>
      <w:r w:rsidRPr="00E204F6">
        <w:rPr>
          <w:rFonts w:ascii="Times New Roman" w:eastAsia="Times New Roman" w:hAnsi="Times New Roman" w:cs="Times New Roman"/>
          <w:sz w:val="24"/>
          <w:szCs w:val="24"/>
        </w:rPr>
        <w:t xml:space="preserve"> 4 of </w:t>
      </w:r>
      <w:r w:rsidR="50370678" w:rsidRPr="00E204F6">
        <w:rPr>
          <w:rFonts w:ascii="Times New Roman" w:eastAsia="Times New Roman" w:hAnsi="Times New Roman" w:cs="Times New Roman"/>
          <w:sz w:val="24"/>
          <w:szCs w:val="24"/>
        </w:rPr>
        <w:t>De Bono</w:t>
      </w:r>
      <w:r w:rsidRPr="00E204F6">
        <w:rPr>
          <w:rFonts w:ascii="Times New Roman" w:eastAsia="Times New Roman" w:hAnsi="Times New Roman" w:cs="Times New Roman"/>
          <w:sz w:val="24"/>
          <w:szCs w:val="24"/>
        </w:rPr>
        <w:t xml:space="preserve"> et al. (2010)</w:t>
      </w:r>
      <w:r w:rsidR="5D8209BA" w:rsidRPr="00E204F6">
        <w:rPr>
          <w:rFonts w:ascii="Times New Roman" w:eastAsia="Times New Roman" w:hAnsi="Times New Roman" w:cs="Times New Roman"/>
          <w:sz w:val="24"/>
          <w:szCs w:val="24"/>
        </w:rPr>
        <w:t>)</w:t>
      </w:r>
      <w:r w:rsidR="2CCD366A" w:rsidRPr="00E204F6">
        <w:rPr>
          <w:rFonts w:ascii="Times New Roman" w:eastAsia="Times New Roman" w:hAnsi="Times New Roman" w:cs="Times New Roman"/>
          <w:sz w:val="24"/>
          <w:szCs w:val="24"/>
        </w:rPr>
        <w:t>;</w:t>
      </w:r>
    </w:p>
    <w:p w14:paraId="3DCE81D0" w14:textId="36903785" w:rsidR="005B1FB3" w:rsidRPr="00E204F6" w:rsidRDefault="63F749B9" w:rsidP="5C731B8B">
      <w:pPr>
        <w:pStyle w:val="ListParagraph"/>
        <w:numPr>
          <w:ilvl w:val="0"/>
          <w:numId w:val="6"/>
        </w:numPr>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Health-related quality of life</w:t>
      </w:r>
      <w:r w:rsidR="2E8C2F06" w:rsidRPr="00E204F6">
        <w:rPr>
          <w:rFonts w:ascii="Times New Roman" w:eastAsia="Times New Roman" w:hAnsi="Times New Roman" w:cs="Times New Roman"/>
          <w:sz w:val="24"/>
          <w:szCs w:val="24"/>
        </w:rPr>
        <w:t xml:space="preserve"> (HRQoL)</w:t>
      </w:r>
    </w:p>
    <w:p w14:paraId="306D665C" w14:textId="4D1B9FAE" w:rsidR="76C0B922" w:rsidRPr="00E204F6" w:rsidRDefault="76C0B922" w:rsidP="76C0B922">
      <w:pPr>
        <w:rPr>
          <w:rFonts w:ascii="Times New Roman" w:eastAsia="Times New Roman" w:hAnsi="Times New Roman" w:cs="Times New Roman"/>
          <w:sz w:val="12"/>
          <w:szCs w:val="12"/>
        </w:rPr>
      </w:pPr>
    </w:p>
    <w:p w14:paraId="5796276D" w14:textId="08D16973" w:rsidR="005B1FB3" w:rsidRPr="00E204F6" w:rsidRDefault="4EC6E23B" w:rsidP="76C0B922">
      <w:pPr>
        <w:spacing w:after="0"/>
        <w:rPr>
          <w:rFonts w:ascii="Times New Roman" w:eastAsiaTheme="minorEastAsia" w:hAnsi="Times New Roman" w:cs="Times New Roman"/>
          <w:i/>
          <w:iCs/>
          <w:sz w:val="24"/>
          <w:szCs w:val="24"/>
        </w:rPr>
      </w:pPr>
      <w:r w:rsidRPr="00E204F6">
        <w:rPr>
          <w:rFonts w:ascii="Times New Roman" w:eastAsia="Times New Roman" w:hAnsi="Times New Roman" w:cs="Times New Roman"/>
          <w:i/>
          <w:iCs/>
          <w:sz w:val="24"/>
          <w:szCs w:val="24"/>
        </w:rPr>
        <w:t>W</w:t>
      </w:r>
      <w:r w:rsidRPr="00E204F6">
        <w:rPr>
          <w:rFonts w:ascii="Times New Roman" w:eastAsiaTheme="minorEastAsia" w:hAnsi="Times New Roman" w:cs="Times New Roman"/>
          <w:i/>
          <w:iCs/>
          <w:sz w:val="24"/>
          <w:szCs w:val="24"/>
        </w:rPr>
        <w:t>hy a model</w:t>
      </w:r>
      <w:r w:rsidR="0720868B" w:rsidRPr="00E204F6">
        <w:rPr>
          <w:rFonts w:ascii="Times New Roman" w:eastAsiaTheme="minorEastAsia" w:hAnsi="Times New Roman" w:cs="Times New Roman"/>
          <w:i/>
          <w:iCs/>
          <w:sz w:val="24"/>
          <w:szCs w:val="24"/>
        </w:rPr>
        <w:t xml:space="preserve"> is</w:t>
      </w:r>
      <w:r w:rsidRPr="00E204F6">
        <w:rPr>
          <w:rFonts w:ascii="Times New Roman" w:eastAsiaTheme="minorEastAsia" w:hAnsi="Times New Roman" w:cs="Times New Roman"/>
          <w:i/>
          <w:iCs/>
          <w:sz w:val="24"/>
          <w:szCs w:val="24"/>
        </w:rPr>
        <w:t xml:space="preserve"> needed</w:t>
      </w:r>
      <w:r w:rsidR="22686B47" w:rsidRPr="00E204F6">
        <w:rPr>
          <w:rFonts w:ascii="Times New Roman" w:eastAsiaTheme="minorEastAsia" w:hAnsi="Times New Roman" w:cs="Times New Roman"/>
          <w:i/>
          <w:iCs/>
          <w:sz w:val="24"/>
          <w:szCs w:val="24"/>
        </w:rPr>
        <w:t xml:space="preserve"> </w:t>
      </w:r>
    </w:p>
    <w:p w14:paraId="552858A5" w14:textId="3AEAB20E" w:rsidR="005B1FB3" w:rsidRPr="00E204F6" w:rsidRDefault="0DEA82A9" w:rsidP="76C0B922">
      <w:pPr>
        <w:rPr>
          <w:rFonts w:ascii="Times New Roman" w:eastAsia="Times New Roman" w:hAnsi="Times New Roman" w:cs="Times New Roman"/>
          <w:sz w:val="24"/>
          <w:szCs w:val="24"/>
        </w:rPr>
      </w:pPr>
      <w:r w:rsidRPr="00E204F6">
        <w:rPr>
          <w:rFonts w:ascii="Times New Roman" w:eastAsiaTheme="minorEastAsia" w:hAnsi="Times New Roman" w:cs="Times New Roman"/>
          <w:sz w:val="24"/>
          <w:szCs w:val="24"/>
        </w:rPr>
        <w:t>A model is needed since the TROPIC trial does not capture lifetime outcomes</w:t>
      </w:r>
      <w:r w:rsidR="6A65D2A2" w:rsidRPr="00E204F6">
        <w:rPr>
          <w:rFonts w:ascii="Times New Roman" w:eastAsiaTheme="minorEastAsia" w:hAnsi="Times New Roman" w:cs="Times New Roman"/>
          <w:sz w:val="24"/>
          <w:szCs w:val="24"/>
        </w:rPr>
        <w:t xml:space="preserve">. The follow-up is too short, </w:t>
      </w:r>
      <w:r w:rsidR="1D11D47C" w:rsidRPr="00E204F6">
        <w:rPr>
          <w:rFonts w:ascii="Times New Roman" w:eastAsiaTheme="minorEastAsia" w:hAnsi="Times New Roman" w:cs="Times New Roman"/>
          <w:sz w:val="24"/>
          <w:szCs w:val="24"/>
        </w:rPr>
        <w:t xml:space="preserve">because </w:t>
      </w:r>
      <w:r w:rsidR="5F400098" w:rsidRPr="00E204F6">
        <w:rPr>
          <w:rFonts w:ascii="Times New Roman" w:eastAsiaTheme="minorEastAsia" w:hAnsi="Times New Roman" w:cs="Times New Roman"/>
          <w:sz w:val="24"/>
          <w:szCs w:val="24"/>
        </w:rPr>
        <w:t>it does not cover the time t</w:t>
      </w:r>
      <w:r w:rsidR="793CEE16" w:rsidRPr="00E204F6">
        <w:rPr>
          <w:rFonts w:ascii="Times New Roman" w:eastAsiaTheme="minorEastAsia" w:hAnsi="Times New Roman" w:cs="Times New Roman"/>
          <w:sz w:val="24"/>
          <w:szCs w:val="24"/>
        </w:rPr>
        <w:t>ill</w:t>
      </w:r>
      <w:r w:rsidR="5F400098" w:rsidRPr="00E204F6">
        <w:rPr>
          <w:rFonts w:ascii="Times New Roman" w:eastAsiaTheme="minorEastAsia" w:hAnsi="Times New Roman" w:cs="Times New Roman"/>
          <w:sz w:val="24"/>
          <w:szCs w:val="24"/>
        </w:rPr>
        <w:t xml:space="preserve"> death f</w:t>
      </w:r>
      <w:r w:rsidR="5F400098" w:rsidRPr="00E204F6">
        <w:rPr>
          <w:rFonts w:ascii="Times New Roman" w:eastAsia="Times New Roman" w:hAnsi="Times New Roman" w:cs="Times New Roman"/>
          <w:sz w:val="24"/>
          <w:szCs w:val="24"/>
        </w:rPr>
        <w:t>or most patients.</w:t>
      </w:r>
      <w:r w:rsidR="6A65D2A2" w:rsidRPr="00E204F6">
        <w:rPr>
          <w:rFonts w:ascii="Times New Roman" w:eastAsia="Times New Roman" w:hAnsi="Times New Roman" w:cs="Times New Roman"/>
          <w:sz w:val="24"/>
          <w:szCs w:val="24"/>
        </w:rPr>
        <w:t xml:space="preserve"> </w:t>
      </w:r>
      <w:r w:rsidR="6CDE2C80" w:rsidRPr="00E204F6">
        <w:rPr>
          <w:rFonts w:ascii="Times New Roman" w:eastAsia="Times New Roman" w:hAnsi="Times New Roman" w:cs="Times New Roman"/>
          <w:sz w:val="24"/>
          <w:szCs w:val="24"/>
        </w:rPr>
        <w:t>Modelling allows for extrapolation beyond the observed follow-up and facilitates the integration of clinical, utility and cost</w:t>
      </w:r>
      <w:r w:rsidR="6A8A1696" w:rsidRPr="00E204F6">
        <w:rPr>
          <w:rFonts w:ascii="Times New Roman" w:eastAsia="Times New Roman" w:hAnsi="Times New Roman" w:cs="Times New Roman"/>
          <w:sz w:val="24"/>
          <w:szCs w:val="24"/>
        </w:rPr>
        <w:t xml:space="preserve"> </w:t>
      </w:r>
      <w:r w:rsidR="6CDE2C80" w:rsidRPr="00E204F6">
        <w:rPr>
          <w:rFonts w:ascii="Times New Roman" w:eastAsia="Times New Roman" w:hAnsi="Times New Roman" w:cs="Times New Roman"/>
          <w:sz w:val="24"/>
          <w:szCs w:val="24"/>
        </w:rPr>
        <w:t>data over time.</w:t>
      </w:r>
    </w:p>
    <w:p w14:paraId="4DC80AA9" w14:textId="5B55CD50" w:rsidR="005B1FB3" w:rsidRPr="00E204F6" w:rsidRDefault="1ECEEC7E" w:rsidP="76C0B922">
      <w:pPr>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A</w:t>
      </w:r>
      <w:r w:rsidR="0DB4C69F" w:rsidRPr="00E204F6">
        <w:rPr>
          <w:rFonts w:ascii="Times New Roman" w:eastAsia="Times New Roman" w:hAnsi="Times New Roman" w:cs="Times New Roman"/>
          <w:sz w:val="24"/>
          <w:szCs w:val="24"/>
        </w:rPr>
        <w:t xml:space="preserve"> </w:t>
      </w:r>
      <w:r w:rsidR="27187DFE" w:rsidRPr="00E204F6">
        <w:rPr>
          <w:rFonts w:ascii="Times New Roman" w:eastAsia="Times New Roman" w:hAnsi="Times New Roman" w:cs="Times New Roman"/>
          <w:sz w:val="24"/>
          <w:szCs w:val="24"/>
        </w:rPr>
        <w:t>partitioned</w:t>
      </w:r>
      <w:r w:rsidR="55C4AFCB" w:rsidRPr="00E204F6">
        <w:rPr>
          <w:rFonts w:ascii="Times New Roman" w:eastAsia="Times New Roman" w:hAnsi="Times New Roman" w:cs="Times New Roman"/>
          <w:sz w:val="24"/>
          <w:szCs w:val="24"/>
        </w:rPr>
        <w:t xml:space="preserve"> </w:t>
      </w:r>
      <w:r w:rsidR="0DB4C69F" w:rsidRPr="00E204F6">
        <w:rPr>
          <w:rFonts w:ascii="Times New Roman" w:eastAsia="Times New Roman" w:hAnsi="Times New Roman" w:cs="Times New Roman"/>
          <w:sz w:val="24"/>
          <w:szCs w:val="24"/>
        </w:rPr>
        <w:t>survival model</w:t>
      </w:r>
      <w:r w:rsidR="3C74922D" w:rsidRPr="00E204F6">
        <w:rPr>
          <w:rFonts w:ascii="Times New Roman" w:eastAsia="Times New Roman" w:hAnsi="Times New Roman" w:cs="Times New Roman"/>
          <w:sz w:val="24"/>
          <w:szCs w:val="24"/>
        </w:rPr>
        <w:t xml:space="preserve"> </w:t>
      </w:r>
      <w:r w:rsidR="377DEAB2" w:rsidRPr="00E204F6">
        <w:rPr>
          <w:rFonts w:ascii="Times New Roman" w:eastAsia="Times New Roman" w:hAnsi="Times New Roman" w:cs="Times New Roman"/>
          <w:sz w:val="24"/>
          <w:szCs w:val="24"/>
        </w:rPr>
        <w:t xml:space="preserve">is </w:t>
      </w:r>
      <w:r w:rsidR="3C74922D" w:rsidRPr="00E204F6">
        <w:rPr>
          <w:rFonts w:ascii="Times New Roman" w:eastAsia="Times New Roman" w:hAnsi="Times New Roman" w:cs="Times New Roman"/>
          <w:sz w:val="24"/>
          <w:szCs w:val="24"/>
        </w:rPr>
        <w:t>used</w:t>
      </w:r>
      <w:r w:rsidR="60A90918" w:rsidRPr="00E204F6">
        <w:rPr>
          <w:rFonts w:ascii="Times New Roman" w:eastAsia="Times New Roman" w:hAnsi="Times New Roman" w:cs="Times New Roman"/>
          <w:sz w:val="24"/>
          <w:szCs w:val="24"/>
        </w:rPr>
        <w:t xml:space="preserve">, which is </w:t>
      </w:r>
      <w:r w:rsidR="33C871D6" w:rsidRPr="00E204F6">
        <w:rPr>
          <w:rFonts w:ascii="Times New Roman" w:eastAsia="Times New Roman" w:hAnsi="Times New Roman" w:cs="Times New Roman"/>
          <w:sz w:val="24"/>
          <w:szCs w:val="24"/>
        </w:rPr>
        <w:t xml:space="preserve">common in </w:t>
      </w:r>
      <w:r w:rsidR="7FAB7A9E" w:rsidRPr="00E204F6">
        <w:rPr>
          <w:rFonts w:ascii="Times New Roman" w:eastAsia="Times New Roman" w:hAnsi="Times New Roman" w:cs="Times New Roman"/>
          <w:sz w:val="24"/>
          <w:szCs w:val="24"/>
        </w:rPr>
        <w:t>oncology</w:t>
      </w:r>
      <w:r w:rsidR="6760E750" w:rsidRPr="00E204F6">
        <w:rPr>
          <w:rFonts w:ascii="Times New Roman" w:eastAsia="Times New Roman" w:hAnsi="Times New Roman" w:cs="Times New Roman"/>
          <w:sz w:val="24"/>
          <w:szCs w:val="24"/>
        </w:rPr>
        <w:t xml:space="preserve"> </w:t>
      </w:r>
      <w:r w:rsidR="60A90918" w:rsidRPr="00E204F6">
        <w:rPr>
          <w:rFonts w:ascii="Times New Roman" w:eastAsia="Times New Roman" w:hAnsi="Times New Roman" w:cs="Times New Roman"/>
          <w:sz w:val="24"/>
          <w:szCs w:val="24"/>
        </w:rPr>
        <w:t xml:space="preserve">and </w:t>
      </w:r>
      <w:r w:rsidR="66839D91" w:rsidRPr="00E204F6">
        <w:rPr>
          <w:rFonts w:ascii="Times New Roman" w:eastAsia="Times New Roman" w:hAnsi="Times New Roman" w:cs="Times New Roman"/>
          <w:sz w:val="24"/>
          <w:szCs w:val="24"/>
        </w:rPr>
        <w:t xml:space="preserve">is </w:t>
      </w:r>
      <w:r w:rsidR="60A90918" w:rsidRPr="00E204F6">
        <w:rPr>
          <w:rFonts w:ascii="Times New Roman" w:eastAsia="Times New Roman" w:hAnsi="Times New Roman" w:cs="Times New Roman"/>
          <w:sz w:val="24"/>
          <w:szCs w:val="24"/>
        </w:rPr>
        <w:t>sui</w:t>
      </w:r>
      <w:r w:rsidR="0E94D2B5" w:rsidRPr="00E204F6">
        <w:rPr>
          <w:rFonts w:ascii="Times New Roman" w:eastAsia="Times New Roman" w:hAnsi="Times New Roman" w:cs="Times New Roman"/>
          <w:sz w:val="24"/>
          <w:szCs w:val="24"/>
        </w:rPr>
        <w:t>t</w:t>
      </w:r>
      <w:r w:rsidR="3A510701" w:rsidRPr="00E204F6">
        <w:rPr>
          <w:rFonts w:ascii="Times New Roman" w:eastAsia="Times New Roman" w:hAnsi="Times New Roman" w:cs="Times New Roman"/>
          <w:sz w:val="24"/>
          <w:szCs w:val="24"/>
        </w:rPr>
        <w:t>able</w:t>
      </w:r>
      <w:r w:rsidR="60A90918" w:rsidRPr="00E204F6">
        <w:rPr>
          <w:rFonts w:ascii="Times New Roman" w:eastAsia="Times New Roman" w:hAnsi="Times New Roman" w:cs="Times New Roman"/>
          <w:sz w:val="24"/>
          <w:szCs w:val="24"/>
        </w:rPr>
        <w:t xml:space="preserve"> for the disease we are </w:t>
      </w:r>
      <w:r w:rsidR="5E921258" w:rsidRPr="00E204F6">
        <w:rPr>
          <w:rFonts w:ascii="Times New Roman" w:eastAsia="Times New Roman" w:hAnsi="Times New Roman" w:cs="Times New Roman"/>
          <w:sz w:val="24"/>
          <w:szCs w:val="24"/>
        </w:rPr>
        <w:t>examining</w:t>
      </w:r>
      <w:r w:rsidR="488F5056" w:rsidRPr="00E204F6">
        <w:rPr>
          <w:rFonts w:ascii="Times New Roman" w:eastAsia="Times New Roman" w:hAnsi="Times New Roman" w:cs="Times New Roman"/>
          <w:sz w:val="24"/>
          <w:szCs w:val="24"/>
        </w:rPr>
        <w:t xml:space="preserve">. </w:t>
      </w:r>
      <w:r w:rsidR="74B93CF7" w:rsidRPr="00E204F6">
        <w:rPr>
          <w:rFonts w:ascii="Times New Roman" w:eastAsia="Times New Roman" w:hAnsi="Times New Roman" w:cs="Times New Roman"/>
          <w:sz w:val="24"/>
          <w:szCs w:val="24"/>
        </w:rPr>
        <w:t>T</w:t>
      </w:r>
      <w:r w:rsidR="488F5056" w:rsidRPr="00E204F6">
        <w:rPr>
          <w:rFonts w:ascii="Times New Roman" w:eastAsia="Times New Roman" w:hAnsi="Times New Roman" w:cs="Times New Roman"/>
          <w:sz w:val="24"/>
          <w:szCs w:val="24"/>
        </w:rPr>
        <w:t xml:space="preserve">his model </w:t>
      </w:r>
      <w:r w:rsidR="5B93FB62" w:rsidRPr="00E204F6">
        <w:rPr>
          <w:rFonts w:ascii="Times New Roman" w:eastAsia="Times New Roman" w:hAnsi="Times New Roman" w:cs="Times New Roman"/>
          <w:sz w:val="24"/>
          <w:szCs w:val="24"/>
        </w:rPr>
        <w:t>is</w:t>
      </w:r>
      <w:r w:rsidR="06B2FC24" w:rsidRPr="00E204F6">
        <w:rPr>
          <w:rFonts w:ascii="Times New Roman" w:eastAsia="Times New Roman" w:hAnsi="Times New Roman" w:cs="Times New Roman"/>
          <w:sz w:val="24"/>
          <w:szCs w:val="24"/>
        </w:rPr>
        <w:t xml:space="preserve"> used as it allows </w:t>
      </w:r>
      <w:r w:rsidR="488F5056" w:rsidRPr="00E204F6">
        <w:rPr>
          <w:rFonts w:ascii="Times New Roman" w:eastAsia="Times New Roman" w:hAnsi="Times New Roman" w:cs="Times New Roman"/>
          <w:sz w:val="24"/>
          <w:szCs w:val="24"/>
        </w:rPr>
        <w:t>the</w:t>
      </w:r>
      <w:r w:rsidR="1652ED8A" w:rsidRPr="00E204F6">
        <w:rPr>
          <w:rFonts w:ascii="Times New Roman" w:eastAsia="Times New Roman" w:hAnsi="Times New Roman" w:cs="Times New Roman"/>
          <w:sz w:val="24"/>
          <w:szCs w:val="24"/>
        </w:rPr>
        <w:t xml:space="preserve"> use of the</w:t>
      </w:r>
      <w:r w:rsidR="488F5056" w:rsidRPr="00E204F6">
        <w:rPr>
          <w:rFonts w:ascii="Times New Roman" w:eastAsia="Times New Roman" w:hAnsi="Times New Roman" w:cs="Times New Roman"/>
          <w:sz w:val="24"/>
          <w:szCs w:val="24"/>
        </w:rPr>
        <w:t xml:space="preserve"> </w:t>
      </w:r>
      <w:r w:rsidR="01836A29" w:rsidRPr="00E204F6">
        <w:rPr>
          <w:rFonts w:ascii="Times New Roman" w:eastAsia="Times New Roman" w:hAnsi="Times New Roman" w:cs="Times New Roman"/>
          <w:sz w:val="24"/>
          <w:szCs w:val="24"/>
        </w:rPr>
        <w:t>OS</w:t>
      </w:r>
      <w:r w:rsidR="488F5056" w:rsidRPr="00E204F6">
        <w:rPr>
          <w:rFonts w:ascii="Times New Roman" w:eastAsia="Times New Roman" w:hAnsi="Times New Roman" w:cs="Times New Roman"/>
          <w:sz w:val="24"/>
          <w:szCs w:val="24"/>
        </w:rPr>
        <w:t xml:space="preserve"> and </w:t>
      </w:r>
      <w:r w:rsidR="6363C1C0" w:rsidRPr="00E204F6">
        <w:rPr>
          <w:rFonts w:ascii="Times New Roman" w:eastAsia="Times New Roman" w:hAnsi="Times New Roman" w:cs="Times New Roman"/>
          <w:sz w:val="24"/>
          <w:szCs w:val="24"/>
        </w:rPr>
        <w:t>PFS</w:t>
      </w:r>
      <w:r w:rsidR="488F5056" w:rsidRPr="00E204F6">
        <w:rPr>
          <w:rFonts w:ascii="Times New Roman" w:eastAsia="Times New Roman" w:hAnsi="Times New Roman" w:cs="Times New Roman"/>
          <w:sz w:val="24"/>
          <w:szCs w:val="24"/>
        </w:rPr>
        <w:t xml:space="preserve"> curve</w:t>
      </w:r>
      <w:r w:rsidR="5E21B456" w:rsidRPr="00E204F6">
        <w:rPr>
          <w:rFonts w:ascii="Times New Roman" w:eastAsia="Times New Roman" w:hAnsi="Times New Roman" w:cs="Times New Roman"/>
          <w:sz w:val="24"/>
          <w:szCs w:val="24"/>
        </w:rPr>
        <w:t>s</w:t>
      </w:r>
      <w:r w:rsidR="488F5056" w:rsidRPr="00E204F6">
        <w:rPr>
          <w:rFonts w:ascii="Times New Roman" w:eastAsia="Times New Roman" w:hAnsi="Times New Roman" w:cs="Times New Roman"/>
          <w:sz w:val="24"/>
          <w:szCs w:val="24"/>
        </w:rPr>
        <w:t xml:space="preserve"> to inform state-membership.</w:t>
      </w:r>
      <w:r w:rsidR="027B4AB2" w:rsidRPr="00E204F6">
        <w:rPr>
          <w:rFonts w:ascii="Times New Roman" w:eastAsia="Times New Roman" w:hAnsi="Times New Roman" w:cs="Times New Roman"/>
          <w:sz w:val="24"/>
          <w:szCs w:val="24"/>
        </w:rPr>
        <w:t xml:space="preserve"> Published </w:t>
      </w:r>
      <w:r w:rsidR="407BDF43" w:rsidRPr="00E204F6">
        <w:rPr>
          <w:rFonts w:ascii="Times New Roman" w:eastAsia="Times New Roman" w:hAnsi="Times New Roman" w:cs="Times New Roman"/>
          <w:sz w:val="24"/>
          <w:szCs w:val="24"/>
        </w:rPr>
        <w:t>Kaplan Meier (KM)</w:t>
      </w:r>
      <w:r w:rsidR="58E0BEF6" w:rsidRPr="00E204F6">
        <w:rPr>
          <w:rFonts w:ascii="Times New Roman" w:eastAsia="Times New Roman" w:hAnsi="Times New Roman" w:cs="Times New Roman"/>
          <w:sz w:val="24"/>
          <w:szCs w:val="24"/>
        </w:rPr>
        <w:t xml:space="preserve"> </w:t>
      </w:r>
      <w:r w:rsidR="027B4AB2" w:rsidRPr="00E204F6">
        <w:rPr>
          <w:rFonts w:ascii="Times New Roman" w:eastAsia="Times New Roman" w:hAnsi="Times New Roman" w:cs="Times New Roman"/>
          <w:sz w:val="24"/>
          <w:szCs w:val="24"/>
        </w:rPr>
        <w:t xml:space="preserve">data </w:t>
      </w:r>
      <w:r w:rsidR="5FBBD99C" w:rsidRPr="00E204F6">
        <w:rPr>
          <w:rFonts w:ascii="Times New Roman" w:eastAsia="Times New Roman" w:hAnsi="Times New Roman" w:cs="Times New Roman"/>
          <w:sz w:val="24"/>
          <w:szCs w:val="24"/>
        </w:rPr>
        <w:t xml:space="preserve">with these survival probabilities </w:t>
      </w:r>
      <w:r w:rsidR="17D8B915" w:rsidRPr="00E204F6">
        <w:rPr>
          <w:rFonts w:ascii="Times New Roman" w:eastAsia="Times New Roman" w:hAnsi="Times New Roman" w:cs="Times New Roman"/>
          <w:sz w:val="24"/>
          <w:szCs w:val="24"/>
        </w:rPr>
        <w:t>are</w:t>
      </w:r>
      <w:r w:rsidR="5FBBD99C" w:rsidRPr="00E204F6">
        <w:rPr>
          <w:rFonts w:ascii="Times New Roman" w:eastAsia="Times New Roman" w:hAnsi="Times New Roman" w:cs="Times New Roman"/>
          <w:sz w:val="24"/>
          <w:szCs w:val="24"/>
        </w:rPr>
        <w:t xml:space="preserve"> available.</w:t>
      </w:r>
      <w:r w:rsidR="7815E0E7" w:rsidRPr="00E204F6">
        <w:rPr>
          <w:rFonts w:ascii="Times New Roman" w:eastAsia="Times New Roman" w:hAnsi="Times New Roman" w:cs="Times New Roman"/>
          <w:sz w:val="24"/>
          <w:szCs w:val="24"/>
        </w:rPr>
        <w:t xml:space="preserve"> The Markov model could have similar health </w:t>
      </w:r>
      <w:r w:rsidR="08786C57" w:rsidRPr="00E204F6">
        <w:rPr>
          <w:rFonts w:ascii="Times New Roman" w:eastAsia="Times New Roman" w:hAnsi="Times New Roman" w:cs="Times New Roman"/>
          <w:sz w:val="24"/>
          <w:szCs w:val="24"/>
        </w:rPr>
        <w:t>states but</w:t>
      </w:r>
      <w:r w:rsidR="7815E0E7" w:rsidRPr="00E204F6">
        <w:rPr>
          <w:rFonts w:ascii="Times New Roman" w:eastAsia="Times New Roman" w:hAnsi="Times New Roman" w:cs="Times New Roman"/>
          <w:sz w:val="24"/>
          <w:szCs w:val="24"/>
        </w:rPr>
        <w:t xml:space="preserve"> requires access to patient-level data to estimate transition probabilities, which is not available for </w:t>
      </w:r>
      <w:r w:rsidR="540AACF7" w:rsidRPr="00E204F6">
        <w:rPr>
          <w:rFonts w:ascii="Times New Roman" w:eastAsia="Times New Roman" w:hAnsi="Times New Roman" w:cs="Times New Roman"/>
          <w:sz w:val="24"/>
          <w:szCs w:val="24"/>
        </w:rPr>
        <w:t>this dis</w:t>
      </w:r>
      <w:r w:rsidR="550575EA" w:rsidRPr="00E204F6">
        <w:rPr>
          <w:rFonts w:ascii="Times New Roman" w:eastAsia="Times New Roman" w:hAnsi="Times New Roman" w:cs="Times New Roman"/>
          <w:sz w:val="24"/>
          <w:szCs w:val="24"/>
        </w:rPr>
        <w:t>ease.</w:t>
      </w:r>
    </w:p>
    <w:p w14:paraId="145F2CDD" w14:textId="5F85B071" w:rsidR="005B1FB3" w:rsidRPr="00E204F6" w:rsidRDefault="005B1FB3" w:rsidP="76C0B922">
      <w:pPr>
        <w:rPr>
          <w:rFonts w:ascii="Times New Roman" w:eastAsia="Times New Roman" w:hAnsi="Times New Roman" w:cs="Times New Roman"/>
          <w:sz w:val="12"/>
          <w:szCs w:val="12"/>
        </w:rPr>
      </w:pPr>
    </w:p>
    <w:p w14:paraId="35562244" w14:textId="62FC3FE0" w:rsidR="005B1FB3" w:rsidRPr="00E204F6" w:rsidRDefault="4EC6E23B" w:rsidP="76C0B922">
      <w:pPr>
        <w:spacing w:after="0"/>
        <w:rPr>
          <w:rFonts w:ascii="Times New Roman" w:eastAsiaTheme="minorEastAsia" w:hAnsi="Times New Roman" w:cs="Times New Roman"/>
          <w:i/>
          <w:iCs/>
          <w:sz w:val="24"/>
          <w:szCs w:val="24"/>
        </w:rPr>
      </w:pPr>
      <w:r w:rsidRPr="00E204F6">
        <w:rPr>
          <w:rFonts w:ascii="Times New Roman" w:eastAsia="Times New Roman" w:hAnsi="Times New Roman" w:cs="Times New Roman"/>
          <w:i/>
          <w:iCs/>
          <w:sz w:val="24"/>
          <w:szCs w:val="24"/>
        </w:rPr>
        <w:t>Mod</w:t>
      </w:r>
      <w:r w:rsidRPr="00E204F6">
        <w:rPr>
          <w:rFonts w:ascii="Times New Roman" w:eastAsiaTheme="minorEastAsia" w:hAnsi="Times New Roman" w:cs="Times New Roman"/>
          <w:i/>
          <w:iCs/>
          <w:sz w:val="24"/>
          <w:szCs w:val="24"/>
        </w:rPr>
        <w:t>el st</w:t>
      </w:r>
      <w:r w:rsidR="41E11EF4" w:rsidRPr="00E204F6">
        <w:rPr>
          <w:rFonts w:ascii="Times New Roman" w:eastAsiaTheme="minorEastAsia" w:hAnsi="Times New Roman" w:cs="Times New Roman"/>
          <w:i/>
          <w:iCs/>
          <w:sz w:val="24"/>
          <w:szCs w:val="24"/>
        </w:rPr>
        <w:t>r</w:t>
      </w:r>
      <w:r w:rsidRPr="00E204F6">
        <w:rPr>
          <w:rFonts w:ascii="Times New Roman" w:eastAsiaTheme="minorEastAsia" w:hAnsi="Times New Roman" w:cs="Times New Roman"/>
          <w:i/>
          <w:iCs/>
          <w:sz w:val="24"/>
          <w:szCs w:val="24"/>
        </w:rPr>
        <w:t>ucture</w:t>
      </w:r>
    </w:p>
    <w:p w14:paraId="196344B7" w14:textId="59D1411E" w:rsidR="1002A173" w:rsidRPr="00E204F6" w:rsidRDefault="1002A173" w:rsidP="76C0B922">
      <w:pPr>
        <w:rPr>
          <w:rFonts w:ascii="Times New Roman" w:eastAsia="Times New Roman" w:hAnsi="Times New Roman" w:cs="Times New Roman"/>
          <w:sz w:val="24"/>
          <w:szCs w:val="24"/>
        </w:rPr>
      </w:pPr>
      <w:r w:rsidRPr="00E204F6">
        <w:rPr>
          <w:rFonts w:ascii="Times New Roman" w:eastAsiaTheme="minorEastAsia" w:hAnsi="Times New Roman" w:cs="Times New Roman"/>
          <w:sz w:val="24"/>
          <w:szCs w:val="24"/>
        </w:rPr>
        <w:t xml:space="preserve">The model </w:t>
      </w:r>
      <w:r w:rsidR="0775BEEA" w:rsidRPr="00E204F6">
        <w:rPr>
          <w:rFonts w:ascii="Times New Roman" w:eastAsiaTheme="minorEastAsia" w:hAnsi="Times New Roman" w:cs="Times New Roman"/>
          <w:sz w:val="24"/>
          <w:szCs w:val="24"/>
        </w:rPr>
        <w:t xml:space="preserve">consists </w:t>
      </w:r>
      <w:r w:rsidRPr="00E204F6">
        <w:rPr>
          <w:rFonts w:ascii="Times New Roman" w:eastAsiaTheme="minorEastAsia" w:hAnsi="Times New Roman" w:cs="Times New Roman"/>
          <w:sz w:val="24"/>
          <w:szCs w:val="24"/>
        </w:rPr>
        <w:t xml:space="preserve">of three mutually exclusive and collectively </w:t>
      </w:r>
      <w:r w:rsidR="6BF23805" w:rsidRPr="00E204F6">
        <w:rPr>
          <w:rFonts w:ascii="Times New Roman" w:eastAsiaTheme="minorEastAsia" w:hAnsi="Times New Roman" w:cs="Times New Roman"/>
          <w:sz w:val="24"/>
          <w:szCs w:val="24"/>
        </w:rPr>
        <w:t xml:space="preserve">exhaustive </w:t>
      </w:r>
      <w:r w:rsidRPr="00E204F6">
        <w:rPr>
          <w:rFonts w:ascii="Times New Roman" w:eastAsiaTheme="minorEastAsia" w:hAnsi="Times New Roman" w:cs="Times New Roman"/>
          <w:sz w:val="24"/>
          <w:szCs w:val="24"/>
        </w:rPr>
        <w:t>health states</w:t>
      </w:r>
      <w:r w:rsidR="1E04B9EC" w:rsidRPr="00E204F6">
        <w:rPr>
          <w:rFonts w:ascii="Times New Roman" w:eastAsiaTheme="minorEastAsia" w:hAnsi="Times New Roman" w:cs="Times New Roman"/>
          <w:sz w:val="24"/>
          <w:szCs w:val="24"/>
        </w:rPr>
        <w:t>: s</w:t>
      </w:r>
      <w:r w:rsidR="4A927529" w:rsidRPr="00E204F6">
        <w:rPr>
          <w:rFonts w:ascii="Times New Roman" w:eastAsiaTheme="minorEastAsia" w:hAnsi="Times New Roman" w:cs="Times New Roman"/>
          <w:sz w:val="24"/>
          <w:szCs w:val="24"/>
        </w:rPr>
        <w:t>t</w:t>
      </w:r>
      <w:r w:rsidR="3A510701" w:rsidRPr="00E204F6">
        <w:rPr>
          <w:rFonts w:ascii="Times New Roman" w:eastAsiaTheme="minorEastAsia" w:hAnsi="Times New Roman" w:cs="Times New Roman"/>
          <w:sz w:val="24"/>
          <w:szCs w:val="24"/>
        </w:rPr>
        <w:t>able</w:t>
      </w:r>
      <w:r w:rsidR="1E04B9EC" w:rsidRPr="00E204F6">
        <w:rPr>
          <w:rFonts w:ascii="Times New Roman" w:eastAsiaTheme="minorEastAsia" w:hAnsi="Times New Roman" w:cs="Times New Roman"/>
          <w:sz w:val="24"/>
          <w:szCs w:val="24"/>
        </w:rPr>
        <w:t xml:space="preserve"> disease (SD), progressive disease (PD) and death. </w:t>
      </w:r>
      <w:r w:rsidR="64C7FB5C" w:rsidRPr="00E204F6">
        <w:rPr>
          <w:rFonts w:ascii="Times New Roman" w:eastAsia="Times New Roman" w:hAnsi="Times New Roman" w:cs="Times New Roman"/>
          <w:sz w:val="24"/>
          <w:szCs w:val="24"/>
        </w:rPr>
        <w:t>In this model there is only one direction of transitions</w:t>
      </w:r>
      <w:r w:rsidR="558A4E8C" w:rsidRPr="00E204F6">
        <w:rPr>
          <w:rFonts w:ascii="Times New Roman" w:eastAsia="Times New Roman" w:hAnsi="Times New Roman" w:cs="Times New Roman"/>
          <w:sz w:val="24"/>
          <w:szCs w:val="24"/>
        </w:rPr>
        <w:t xml:space="preserve"> (see </w:t>
      </w:r>
      <w:r w:rsidR="2E90EA3A" w:rsidRPr="00E204F6">
        <w:rPr>
          <w:rFonts w:ascii="Times New Roman" w:eastAsia="Times New Roman" w:hAnsi="Times New Roman" w:cs="Times New Roman"/>
          <w:sz w:val="24"/>
          <w:szCs w:val="24"/>
        </w:rPr>
        <w:t>Figure</w:t>
      </w:r>
      <w:r w:rsidR="35F0CBCE" w:rsidRPr="00E204F6">
        <w:rPr>
          <w:rFonts w:ascii="Times New Roman" w:eastAsia="Times New Roman" w:hAnsi="Times New Roman" w:cs="Times New Roman"/>
          <w:sz w:val="24"/>
          <w:szCs w:val="24"/>
        </w:rPr>
        <w:t xml:space="preserve"> </w:t>
      </w:r>
      <w:r w:rsidR="558A4E8C" w:rsidRPr="00E204F6">
        <w:rPr>
          <w:rFonts w:ascii="Times New Roman" w:eastAsia="Times New Roman" w:hAnsi="Times New Roman" w:cs="Times New Roman"/>
          <w:sz w:val="24"/>
          <w:szCs w:val="24"/>
        </w:rPr>
        <w:t>1)</w:t>
      </w:r>
      <w:r w:rsidR="64C7FB5C" w:rsidRPr="00E204F6">
        <w:rPr>
          <w:rFonts w:ascii="Times New Roman" w:eastAsia="Times New Roman" w:hAnsi="Times New Roman" w:cs="Times New Roman"/>
          <w:sz w:val="24"/>
          <w:szCs w:val="24"/>
        </w:rPr>
        <w:t>.</w:t>
      </w:r>
      <w:r w:rsidR="36C9B15D" w:rsidRPr="00E204F6">
        <w:rPr>
          <w:rFonts w:ascii="Times New Roman" w:eastAsia="Times New Roman" w:hAnsi="Times New Roman" w:cs="Times New Roman"/>
          <w:sz w:val="24"/>
          <w:szCs w:val="24"/>
        </w:rPr>
        <w:t xml:space="preserve"> </w:t>
      </w:r>
      <w:r w:rsidR="5E530351" w:rsidRPr="00E204F6">
        <w:rPr>
          <w:rFonts w:ascii="Times New Roman" w:eastAsia="Times New Roman" w:hAnsi="Times New Roman" w:cs="Times New Roman"/>
          <w:sz w:val="24"/>
          <w:szCs w:val="24"/>
        </w:rPr>
        <w:t xml:space="preserve">It is assumed that all patients leaving the SD state must first pass through PD before dying; no direct transition from SD to death is possible. Patients can also remain in SD. </w:t>
      </w:r>
      <w:r w:rsidR="3E4E691F" w:rsidRPr="00E204F6">
        <w:rPr>
          <w:rFonts w:ascii="Times New Roman" w:eastAsia="Times New Roman" w:hAnsi="Times New Roman" w:cs="Times New Roman"/>
          <w:sz w:val="24"/>
          <w:szCs w:val="24"/>
        </w:rPr>
        <w:t>Patients in the PD health state can remain in this state or transition to death. Patients in the death state remain there permanently.</w:t>
      </w:r>
      <w:r w:rsidR="1DE1FD51" w:rsidRPr="00E204F6">
        <w:rPr>
          <w:rFonts w:ascii="Times New Roman" w:eastAsia="Times New Roman" w:hAnsi="Times New Roman" w:cs="Times New Roman"/>
          <w:sz w:val="24"/>
          <w:szCs w:val="24"/>
        </w:rPr>
        <w:t xml:space="preserve"> The number of newly progressed and newly deceased patients per cycle was tracked separately, as these counts were needed to apply one-off costs at the point of progression and death, as described in the treatment effect and resource use sections.</w:t>
      </w:r>
    </w:p>
    <w:p w14:paraId="6F5A32A2" w14:textId="0C6D54BA" w:rsidR="005B1FB3" w:rsidRPr="00E204F6" w:rsidRDefault="57B2F54F" w:rsidP="76C0B922">
      <w:pPr>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The cycle length of the model is 3 weeks, to reflect </w:t>
      </w:r>
      <w:r w:rsidR="7D9C547D" w:rsidRPr="00E204F6">
        <w:rPr>
          <w:rFonts w:ascii="Times New Roman" w:eastAsia="Times New Roman" w:hAnsi="Times New Roman" w:cs="Times New Roman"/>
          <w:sz w:val="24"/>
          <w:szCs w:val="24"/>
        </w:rPr>
        <w:t xml:space="preserve">the </w:t>
      </w:r>
      <w:r w:rsidRPr="00E204F6">
        <w:rPr>
          <w:rFonts w:ascii="Times New Roman" w:eastAsia="Times New Roman" w:hAnsi="Times New Roman" w:cs="Times New Roman"/>
          <w:sz w:val="24"/>
          <w:szCs w:val="24"/>
        </w:rPr>
        <w:t xml:space="preserve">standard follow-up and </w:t>
      </w:r>
      <w:r w:rsidR="062A7D25" w:rsidRPr="00E204F6">
        <w:rPr>
          <w:rFonts w:ascii="Times New Roman" w:eastAsia="Times New Roman" w:hAnsi="Times New Roman" w:cs="Times New Roman"/>
          <w:sz w:val="24"/>
          <w:szCs w:val="24"/>
        </w:rPr>
        <w:t xml:space="preserve">the </w:t>
      </w:r>
      <w:r w:rsidRPr="00E204F6">
        <w:rPr>
          <w:rFonts w:ascii="Times New Roman" w:eastAsia="Times New Roman" w:hAnsi="Times New Roman" w:cs="Times New Roman"/>
          <w:sz w:val="24"/>
          <w:szCs w:val="24"/>
        </w:rPr>
        <w:t>clinical treatment.</w:t>
      </w:r>
      <w:r w:rsidR="668D8F54" w:rsidRPr="00E204F6">
        <w:rPr>
          <w:rFonts w:ascii="Times New Roman" w:eastAsia="Times New Roman" w:hAnsi="Times New Roman" w:cs="Times New Roman"/>
          <w:sz w:val="24"/>
          <w:szCs w:val="24"/>
        </w:rPr>
        <w:t xml:space="preserve"> As already discussed in the time horizon </w:t>
      </w:r>
      <w:r w:rsidR="514FE3FF" w:rsidRPr="00E204F6">
        <w:rPr>
          <w:rFonts w:ascii="Times New Roman" w:eastAsia="Times New Roman" w:hAnsi="Times New Roman" w:cs="Times New Roman"/>
          <w:sz w:val="24"/>
          <w:szCs w:val="24"/>
        </w:rPr>
        <w:t>section</w:t>
      </w:r>
      <w:r w:rsidR="668D8F54" w:rsidRPr="00E204F6">
        <w:rPr>
          <w:rFonts w:ascii="Times New Roman" w:eastAsia="Times New Roman" w:hAnsi="Times New Roman" w:cs="Times New Roman"/>
          <w:sz w:val="24"/>
          <w:szCs w:val="24"/>
        </w:rPr>
        <w:t xml:space="preserve">, the model simulates until </w:t>
      </w:r>
      <w:r w:rsidR="2757A312" w:rsidRPr="00E204F6">
        <w:rPr>
          <w:rFonts w:ascii="Times New Roman" w:eastAsia="Times New Roman" w:hAnsi="Times New Roman" w:cs="Times New Roman"/>
          <w:sz w:val="24"/>
          <w:szCs w:val="24"/>
        </w:rPr>
        <w:t>the full cohort</w:t>
      </w:r>
      <w:r w:rsidR="37219027" w:rsidRPr="00E204F6">
        <w:rPr>
          <w:rFonts w:ascii="Times New Roman" w:eastAsia="Times New Roman" w:hAnsi="Times New Roman" w:cs="Times New Roman"/>
          <w:sz w:val="24"/>
          <w:szCs w:val="24"/>
        </w:rPr>
        <w:t xml:space="preserve"> has</w:t>
      </w:r>
      <w:r w:rsidR="2757A312" w:rsidRPr="00E204F6">
        <w:rPr>
          <w:rFonts w:ascii="Times New Roman" w:eastAsia="Times New Roman" w:hAnsi="Times New Roman" w:cs="Times New Roman"/>
          <w:sz w:val="24"/>
          <w:szCs w:val="24"/>
        </w:rPr>
        <w:t xml:space="preserve"> died (</w:t>
      </w:r>
      <w:r w:rsidR="22950123" w:rsidRPr="00E204F6">
        <w:rPr>
          <w:rFonts w:ascii="Times New Roman" w:eastAsia="Times New Roman" w:hAnsi="Times New Roman" w:cs="Times New Roman"/>
          <w:sz w:val="24"/>
          <w:szCs w:val="24"/>
        </w:rPr>
        <w:t>lifetime</w:t>
      </w:r>
      <w:r w:rsidR="2757A312" w:rsidRPr="00E204F6">
        <w:rPr>
          <w:rFonts w:ascii="Times New Roman" w:eastAsia="Times New Roman" w:hAnsi="Times New Roman" w:cs="Times New Roman"/>
          <w:sz w:val="24"/>
          <w:szCs w:val="24"/>
        </w:rPr>
        <w:t xml:space="preserve"> horizon).</w:t>
      </w:r>
      <w:r w:rsidR="1B7E704A" w:rsidRPr="00E204F6">
        <w:rPr>
          <w:rFonts w:ascii="Times New Roman" w:eastAsia="Times New Roman" w:hAnsi="Times New Roman" w:cs="Times New Roman"/>
          <w:sz w:val="24"/>
          <w:szCs w:val="24"/>
        </w:rPr>
        <w:t xml:space="preserve"> </w:t>
      </w:r>
    </w:p>
    <w:p w14:paraId="081164CD" w14:textId="3BAF2D8C" w:rsidR="005B1FB3" w:rsidRPr="00E204F6" w:rsidRDefault="61B17780" w:rsidP="76C0B922">
      <w:pPr>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AE costs and QALY losses are incorporated as a lumpsum at the start of the model</w:t>
      </w:r>
      <w:r w:rsidR="6CEE230B" w:rsidRPr="00E204F6">
        <w:rPr>
          <w:rFonts w:ascii="Times New Roman" w:eastAsia="Times New Roman" w:hAnsi="Times New Roman" w:cs="Times New Roman"/>
          <w:sz w:val="24"/>
          <w:szCs w:val="24"/>
        </w:rPr>
        <w:t>.</w:t>
      </w:r>
      <w:r w:rsidR="35F35166" w:rsidRPr="00E204F6">
        <w:rPr>
          <w:rFonts w:ascii="Times New Roman" w:eastAsia="Times New Roman" w:hAnsi="Times New Roman" w:cs="Times New Roman"/>
          <w:sz w:val="24"/>
          <w:szCs w:val="24"/>
        </w:rPr>
        <w:t xml:space="preserve"> </w:t>
      </w:r>
      <w:r w:rsidR="60546DEB" w:rsidRPr="00E204F6">
        <w:rPr>
          <w:rFonts w:ascii="Times New Roman" w:eastAsia="Times New Roman" w:hAnsi="Times New Roman" w:cs="Times New Roman"/>
          <w:sz w:val="24"/>
          <w:szCs w:val="24"/>
        </w:rPr>
        <w:t>F</w:t>
      </w:r>
      <w:r w:rsidR="35F35166" w:rsidRPr="00E204F6">
        <w:rPr>
          <w:rFonts w:ascii="Times New Roman" w:eastAsia="Times New Roman" w:hAnsi="Times New Roman" w:cs="Times New Roman"/>
          <w:sz w:val="24"/>
          <w:szCs w:val="24"/>
        </w:rPr>
        <w:t>or simplicity</w:t>
      </w:r>
      <w:r w:rsidR="5B682B3D" w:rsidRPr="00E204F6">
        <w:rPr>
          <w:rFonts w:ascii="Times New Roman" w:eastAsia="Times New Roman" w:hAnsi="Times New Roman" w:cs="Times New Roman"/>
          <w:sz w:val="24"/>
          <w:szCs w:val="24"/>
        </w:rPr>
        <w:t>,</w:t>
      </w:r>
      <w:r w:rsidR="35F35166" w:rsidRPr="00E204F6">
        <w:rPr>
          <w:rFonts w:ascii="Times New Roman" w:eastAsia="Times New Roman" w:hAnsi="Times New Roman" w:cs="Times New Roman"/>
          <w:sz w:val="24"/>
          <w:szCs w:val="24"/>
        </w:rPr>
        <w:t xml:space="preserve"> </w:t>
      </w:r>
      <w:r w:rsidR="2130966B" w:rsidRPr="00E204F6">
        <w:rPr>
          <w:rFonts w:ascii="Times New Roman" w:eastAsia="Times New Roman" w:hAnsi="Times New Roman" w:cs="Times New Roman"/>
          <w:sz w:val="24"/>
          <w:szCs w:val="24"/>
        </w:rPr>
        <w:t xml:space="preserve">AEs </w:t>
      </w:r>
      <w:r w:rsidR="35F35166" w:rsidRPr="00E204F6">
        <w:rPr>
          <w:rFonts w:ascii="Times New Roman" w:eastAsia="Times New Roman" w:hAnsi="Times New Roman" w:cs="Times New Roman"/>
          <w:sz w:val="24"/>
          <w:szCs w:val="24"/>
        </w:rPr>
        <w:t xml:space="preserve">associated with post-second line chemotherapy in the </w:t>
      </w:r>
      <w:r w:rsidR="2E0DD1C9" w:rsidRPr="00E204F6">
        <w:rPr>
          <w:rFonts w:ascii="Times New Roman" w:eastAsia="Times New Roman" w:hAnsi="Times New Roman" w:cs="Times New Roman"/>
          <w:sz w:val="24"/>
          <w:szCs w:val="24"/>
        </w:rPr>
        <w:t>PD</w:t>
      </w:r>
      <w:r w:rsidR="68DA5895" w:rsidRPr="00E204F6">
        <w:rPr>
          <w:rFonts w:ascii="Times New Roman" w:eastAsia="Times New Roman" w:hAnsi="Times New Roman" w:cs="Times New Roman"/>
          <w:sz w:val="24"/>
          <w:szCs w:val="24"/>
        </w:rPr>
        <w:t xml:space="preserve"> state </w:t>
      </w:r>
      <w:r w:rsidR="0382D2DC" w:rsidRPr="00E204F6">
        <w:rPr>
          <w:rFonts w:ascii="Times New Roman" w:eastAsia="Times New Roman" w:hAnsi="Times New Roman" w:cs="Times New Roman"/>
          <w:sz w:val="24"/>
          <w:szCs w:val="24"/>
        </w:rPr>
        <w:t xml:space="preserve">are </w:t>
      </w:r>
      <w:r w:rsidR="68DA5895" w:rsidRPr="00E204F6">
        <w:rPr>
          <w:rFonts w:ascii="Times New Roman" w:eastAsia="Times New Roman" w:hAnsi="Times New Roman" w:cs="Times New Roman"/>
          <w:sz w:val="24"/>
          <w:szCs w:val="24"/>
        </w:rPr>
        <w:t>ignored.</w:t>
      </w:r>
      <w:r w:rsidR="1B7E704A" w:rsidRPr="00E204F6">
        <w:rPr>
          <w:rFonts w:ascii="Times New Roman" w:eastAsia="Times New Roman" w:hAnsi="Times New Roman" w:cs="Times New Roman"/>
          <w:sz w:val="24"/>
          <w:szCs w:val="24"/>
        </w:rPr>
        <w:t xml:space="preserve"> </w:t>
      </w:r>
      <w:r w:rsidR="287B59D0" w:rsidRPr="00E204F6">
        <w:rPr>
          <w:rFonts w:ascii="Times New Roman" w:eastAsia="Times New Roman" w:hAnsi="Times New Roman" w:cs="Times New Roman"/>
          <w:sz w:val="24"/>
          <w:szCs w:val="24"/>
        </w:rPr>
        <w:t>P</w:t>
      </w:r>
      <w:r w:rsidR="1B7E704A" w:rsidRPr="00E204F6">
        <w:rPr>
          <w:rFonts w:ascii="Times New Roman" w:eastAsia="Times New Roman" w:hAnsi="Times New Roman" w:cs="Times New Roman"/>
          <w:sz w:val="24"/>
          <w:szCs w:val="24"/>
        </w:rPr>
        <w:t xml:space="preserve">arameter uncertainty </w:t>
      </w:r>
      <w:r w:rsidR="4236ECE4" w:rsidRPr="00E204F6">
        <w:rPr>
          <w:rFonts w:ascii="Times New Roman" w:eastAsia="Times New Roman" w:hAnsi="Times New Roman" w:cs="Times New Roman"/>
          <w:sz w:val="24"/>
          <w:szCs w:val="24"/>
        </w:rPr>
        <w:t>is incorporated through a probabilistic sensitivity analysis, as described in the sensitivity analysis section.</w:t>
      </w:r>
    </w:p>
    <w:p w14:paraId="464A4906" w14:textId="07EAE8A4" w:rsidR="76C0B922" w:rsidRPr="00E204F6" w:rsidRDefault="76C0B922" w:rsidP="76C0B922">
      <w:pPr>
        <w:rPr>
          <w:rFonts w:ascii="Times New Roman" w:eastAsia="Times New Roman" w:hAnsi="Times New Roman" w:cs="Times New Roman"/>
          <w:sz w:val="24"/>
          <w:szCs w:val="24"/>
        </w:rPr>
      </w:pPr>
    </w:p>
    <w:p w14:paraId="5910307D" w14:textId="1DE7A159" w:rsidR="129E3C45" w:rsidRPr="00E204F6" w:rsidRDefault="129E3C45" w:rsidP="76C0B922">
      <w:pPr>
        <w:rPr>
          <w:rFonts w:ascii="Times New Roman" w:hAnsi="Times New Roman" w:cs="Times New Roman"/>
        </w:rPr>
      </w:pPr>
      <w:r w:rsidRPr="00E204F6">
        <w:rPr>
          <w:rFonts w:ascii="Times New Roman" w:hAnsi="Times New Roman" w:cs="Times New Roman"/>
          <w:noProof/>
        </w:rPr>
        <w:lastRenderedPageBreak/>
        <w:drawing>
          <wp:inline distT="0" distB="0" distL="0" distR="0" wp14:anchorId="687AB30A" wp14:editId="59488B36">
            <wp:extent cx="3656777" cy="2447925"/>
            <wp:effectExtent l="0" t="0" r="0" b="0"/>
            <wp:docPr id="6544461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446130" name="Picture 654446130"/>
                    <pic:cNvPicPr/>
                  </pic:nvPicPr>
                  <pic:blipFill>
                    <a:blip r:embed="rId10">
                      <a:extLst>
                        <a:ext uri="{28A0092B-C50C-407E-A947-70E740481C1C}">
                          <a14:useLocalDpi xmlns:a14="http://schemas.microsoft.com/office/drawing/2010/main"/>
                        </a:ext>
                      </a:extLst>
                    </a:blip>
                    <a:stretch>
                      <a:fillRect/>
                    </a:stretch>
                  </pic:blipFill>
                  <pic:spPr>
                    <a:xfrm>
                      <a:off x="0" y="0"/>
                      <a:ext cx="3656777" cy="2447925"/>
                    </a:xfrm>
                    <a:prstGeom prst="rect">
                      <a:avLst/>
                    </a:prstGeom>
                  </pic:spPr>
                </pic:pic>
              </a:graphicData>
            </a:graphic>
          </wp:inline>
        </w:drawing>
      </w:r>
    </w:p>
    <w:p w14:paraId="46ACDE3B" w14:textId="26BFF3FB" w:rsidR="2E90EA3A" w:rsidRPr="00E204F6" w:rsidRDefault="2E90EA3A" w:rsidP="76C0B922">
      <w:pPr>
        <w:spacing w:after="0"/>
        <w:rPr>
          <w:rFonts w:ascii="Times New Roman" w:eastAsia="Times New Roman" w:hAnsi="Times New Roman" w:cs="Times New Roman"/>
          <w:sz w:val="24"/>
          <w:szCs w:val="24"/>
        </w:rPr>
      </w:pPr>
      <w:r w:rsidRPr="00E204F6">
        <w:rPr>
          <w:rFonts w:ascii="Times New Roman" w:eastAsia="Times New Roman" w:hAnsi="Times New Roman" w:cs="Times New Roman"/>
          <w:b/>
          <w:bCs/>
          <w:sz w:val="24"/>
          <w:szCs w:val="24"/>
        </w:rPr>
        <w:t>Figure</w:t>
      </w:r>
      <w:r w:rsidR="62222F06" w:rsidRPr="00E204F6">
        <w:rPr>
          <w:rFonts w:ascii="Times New Roman" w:eastAsia="Times New Roman" w:hAnsi="Times New Roman" w:cs="Times New Roman"/>
          <w:b/>
          <w:bCs/>
          <w:sz w:val="24"/>
          <w:szCs w:val="24"/>
        </w:rPr>
        <w:t xml:space="preserve"> 1. </w:t>
      </w:r>
      <w:r w:rsidR="62222F06" w:rsidRPr="00E204F6">
        <w:rPr>
          <w:rFonts w:ascii="Times New Roman" w:eastAsia="Times New Roman" w:hAnsi="Times New Roman" w:cs="Times New Roman"/>
          <w:sz w:val="24"/>
          <w:szCs w:val="24"/>
        </w:rPr>
        <w:t>Diagrammatical representation of the model structure</w:t>
      </w:r>
    </w:p>
    <w:p w14:paraId="4F29EEDF" w14:textId="7881FBEF" w:rsidR="226F042A" w:rsidRPr="00E204F6" w:rsidRDefault="226F042A" w:rsidP="76C0B922">
      <w:pPr>
        <w:spacing w:after="0"/>
        <w:rPr>
          <w:rFonts w:ascii="Times New Roman" w:eastAsia="Times New Roman" w:hAnsi="Times New Roman" w:cs="Times New Roman"/>
          <w:lang w:val="en-US"/>
        </w:rPr>
      </w:pPr>
      <w:r w:rsidRPr="00E204F6">
        <w:rPr>
          <w:rFonts w:ascii="Times New Roman" w:eastAsia="Times New Roman" w:hAnsi="Times New Roman" w:cs="Times New Roman"/>
          <w:i/>
          <w:iCs/>
          <w:lang w:val="en-US"/>
        </w:rPr>
        <w:t>Note</w:t>
      </w:r>
      <w:r w:rsidR="1C49A56E" w:rsidRPr="00E204F6">
        <w:rPr>
          <w:rFonts w:ascii="Times New Roman" w:eastAsia="Times New Roman" w:hAnsi="Times New Roman" w:cs="Times New Roman"/>
          <w:i/>
          <w:iCs/>
          <w:lang w:val="en-US"/>
        </w:rPr>
        <w:t xml:space="preserve">: </w:t>
      </w:r>
      <w:r w:rsidR="766E3560" w:rsidRPr="00E204F6">
        <w:rPr>
          <w:rFonts w:ascii="Times New Roman" w:eastAsia="Times New Roman" w:hAnsi="Times New Roman" w:cs="Times New Roman"/>
          <w:lang w:val="en-US"/>
        </w:rPr>
        <w:t xml:space="preserve">SAEs = </w:t>
      </w:r>
      <w:r w:rsidR="29464FCF" w:rsidRPr="00E204F6">
        <w:rPr>
          <w:rFonts w:ascii="Times New Roman" w:eastAsia="Times New Roman" w:hAnsi="Times New Roman" w:cs="Times New Roman"/>
          <w:lang w:val="en-US"/>
        </w:rPr>
        <w:t>Serious adverse events</w:t>
      </w:r>
    </w:p>
    <w:p w14:paraId="5551A0FC" w14:textId="293A5C93" w:rsidR="005B1FB3" w:rsidRPr="00E204F6" w:rsidRDefault="005B1FB3" w:rsidP="5C731B8B">
      <w:pPr>
        <w:rPr>
          <w:rFonts w:ascii="Times New Roman" w:eastAsia="Times New Roman" w:hAnsi="Times New Roman" w:cs="Times New Roman"/>
          <w:i/>
          <w:iCs/>
          <w:sz w:val="24"/>
          <w:szCs w:val="24"/>
        </w:rPr>
      </w:pPr>
    </w:p>
    <w:p w14:paraId="49A61EF4" w14:textId="4A985DA7" w:rsidR="5C731B8B" w:rsidRPr="00E204F6" w:rsidRDefault="5C731B8B" w:rsidP="5C731B8B">
      <w:pPr>
        <w:rPr>
          <w:rFonts w:ascii="Times New Roman" w:eastAsia="Times New Roman" w:hAnsi="Times New Roman" w:cs="Times New Roman"/>
          <w:sz w:val="24"/>
          <w:szCs w:val="24"/>
          <w:u w:val="single"/>
        </w:rPr>
      </w:pPr>
    </w:p>
    <w:p w14:paraId="7F160562" w14:textId="4B383268" w:rsidR="005B1FB3" w:rsidRPr="00E204F6" w:rsidRDefault="005B1FB3" w:rsidP="5C731B8B">
      <w:pPr>
        <w:spacing w:after="0" w:line="276" w:lineRule="auto"/>
        <w:ind w:left="720" w:hanging="720"/>
        <w:rPr>
          <w:rFonts w:ascii="Times New Roman" w:eastAsia="Times New Roman" w:hAnsi="Times New Roman" w:cs="Times New Roman"/>
          <w:sz w:val="24"/>
          <w:szCs w:val="24"/>
        </w:rPr>
      </w:pPr>
    </w:p>
    <w:p w14:paraId="764C4292" w14:textId="5420BE1B" w:rsidR="005B1FB3" w:rsidRPr="00E204F6" w:rsidRDefault="005B1FB3" w:rsidP="00B2D36F">
      <w:pPr>
        <w:rPr>
          <w:rFonts w:ascii="Times New Roman" w:hAnsi="Times New Roman" w:cs="Times New Roman"/>
        </w:rPr>
      </w:pPr>
    </w:p>
    <w:p w14:paraId="11781C06" w14:textId="05F31BFE" w:rsidR="005B1FB3" w:rsidRPr="00E204F6" w:rsidRDefault="005B1FB3" w:rsidP="5C731B8B">
      <w:pPr>
        <w:rPr>
          <w:rFonts w:ascii="Times New Roman" w:eastAsia="Times New Roman" w:hAnsi="Times New Roman" w:cs="Times New Roman"/>
          <w:sz w:val="24"/>
          <w:szCs w:val="24"/>
        </w:rPr>
      </w:pPr>
    </w:p>
    <w:p w14:paraId="1BB3428C" w14:textId="741A9F02" w:rsidR="005B1FB3" w:rsidRPr="00E204F6" w:rsidRDefault="005B1FB3" w:rsidP="76C0B922">
      <w:pPr>
        <w:rPr>
          <w:rFonts w:ascii="Times New Roman" w:eastAsia="Times New Roman" w:hAnsi="Times New Roman" w:cs="Times New Roman"/>
          <w:sz w:val="24"/>
          <w:szCs w:val="24"/>
        </w:rPr>
      </w:pPr>
    </w:p>
    <w:p w14:paraId="42AE0D3D" w14:textId="7908EA55" w:rsidR="005B1FB3" w:rsidRPr="00E204F6" w:rsidRDefault="16E34F5D" w:rsidP="76C0B922">
      <w:pPr>
        <w:rPr>
          <w:rFonts w:ascii="Times New Roman" w:hAnsi="Times New Roman" w:cs="Times New Roman"/>
        </w:rPr>
      </w:pPr>
      <w:r w:rsidRPr="00E204F6">
        <w:rPr>
          <w:rFonts w:ascii="Times New Roman" w:hAnsi="Times New Roman" w:cs="Times New Roman"/>
        </w:rPr>
        <w:br w:type="page"/>
      </w:r>
    </w:p>
    <w:p w14:paraId="0B58218C" w14:textId="28A9281C" w:rsidR="005B1FB3" w:rsidRPr="00E204F6" w:rsidRDefault="64CCC536" w:rsidP="76C0B922">
      <w:pPr>
        <w:rPr>
          <w:rFonts w:ascii="Times New Roman" w:eastAsia="Times New Roman" w:hAnsi="Times New Roman" w:cs="Times New Roman"/>
          <w:sz w:val="24"/>
          <w:szCs w:val="24"/>
        </w:rPr>
      </w:pPr>
      <w:bookmarkStart w:id="3" w:name="_Toc344080014"/>
      <w:r w:rsidRPr="30076135">
        <w:rPr>
          <w:rStyle w:val="Heading2Char"/>
          <w:rFonts w:ascii="Times New Roman" w:eastAsia="Times New Roman" w:hAnsi="Times New Roman" w:cs="Times New Roman"/>
          <w:color w:val="auto"/>
          <w:sz w:val="28"/>
          <w:szCs w:val="28"/>
        </w:rPr>
        <w:lastRenderedPageBreak/>
        <w:t>THE TREATMENT EFFECT</w:t>
      </w:r>
      <w:bookmarkEnd w:id="3"/>
      <w:r w:rsidRPr="30076135">
        <w:rPr>
          <w:rFonts w:ascii="Times New Roman" w:eastAsia="Times New Roman" w:hAnsi="Times New Roman" w:cs="Times New Roman"/>
          <w:sz w:val="24"/>
          <w:szCs w:val="24"/>
        </w:rPr>
        <w:t xml:space="preserve"> </w:t>
      </w:r>
    </w:p>
    <w:p w14:paraId="085DC7E0" w14:textId="73CC35AD" w:rsidR="7FF94EF3" w:rsidRPr="00E204F6" w:rsidRDefault="257E11C0" w:rsidP="76C0B922">
      <w:pPr>
        <w:spacing w:after="0"/>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The aim of this </w:t>
      </w:r>
      <w:r w:rsidR="507D1F76" w:rsidRPr="00E204F6">
        <w:rPr>
          <w:rFonts w:ascii="Times New Roman" w:eastAsia="Times New Roman" w:hAnsi="Times New Roman" w:cs="Times New Roman"/>
          <w:sz w:val="24"/>
          <w:szCs w:val="24"/>
        </w:rPr>
        <w:t xml:space="preserve">study </w:t>
      </w:r>
      <w:r w:rsidRPr="00E204F6">
        <w:rPr>
          <w:rFonts w:ascii="Times New Roman" w:eastAsia="Times New Roman" w:hAnsi="Times New Roman" w:cs="Times New Roman"/>
          <w:sz w:val="24"/>
          <w:szCs w:val="24"/>
        </w:rPr>
        <w:t xml:space="preserve">is to evaluate the cost-effectiveness of </w:t>
      </w:r>
      <w:r w:rsidR="77EA56D4" w:rsidRPr="00E204F6">
        <w:rPr>
          <w:rFonts w:ascii="Times New Roman" w:eastAsia="Times New Roman" w:hAnsi="Times New Roman" w:cs="Times New Roman"/>
          <w:sz w:val="24"/>
          <w:szCs w:val="24"/>
        </w:rPr>
        <w:t>Cabazitaxel</w:t>
      </w:r>
      <w:r w:rsidRPr="00E204F6">
        <w:rPr>
          <w:rFonts w:ascii="Times New Roman" w:eastAsia="Times New Roman" w:hAnsi="Times New Roman" w:cs="Times New Roman"/>
          <w:sz w:val="24"/>
          <w:szCs w:val="24"/>
        </w:rPr>
        <w:t xml:space="preserve"> </w:t>
      </w:r>
      <w:r w:rsidR="1AB63048" w:rsidRPr="00E204F6">
        <w:rPr>
          <w:rFonts w:ascii="Times New Roman" w:eastAsia="Times New Roman" w:hAnsi="Times New Roman" w:cs="Times New Roman"/>
          <w:sz w:val="24"/>
          <w:szCs w:val="24"/>
        </w:rPr>
        <w:t xml:space="preserve">compared </w:t>
      </w:r>
      <w:r w:rsidRPr="00E204F6">
        <w:rPr>
          <w:rFonts w:ascii="Times New Roman" w:eastAsia="Times New Roman" w:hAnsi="Times New Roman" w:cs="Times New Roman"/>
          <w:sz w:val="24"/>
          <w:szCs w:val="24"/>
        </w:rPr>
        <w:t xml:space="preserve">to </w:t>
      </w:r>
      <w:r w:rsidR="2E1C6553" w:rsidRPr="00E204F6">
        <w:rPr>
          <w:rFonts w:ascii="Times New Roman" w:eastAsia="Times New Roman" w:hAnsi="Times New Roman" w:cs="Times New Roman"/>
          <w:sz w:val="24"/>
          <w:szCs w:val="24"/>
        </w:rPr>
        <w:t>Mitoxantrone</w:t>
      </w:r>
      <w:r w:rsidRPr="00E204F6">
        <w:rPr>
          <w:rFonts w:ascii="Times New Roman" w:eastAsia="Times New Roman" w:hAnsi="Times New Roman" w:cs="Times New Roman"/>
          <w:sz w:val="24"/>
          <w:szCs w:val="24"/>
        </w:rPr>
        <w:t xml:space="preserve">. </w:t>
      </w:r>
      <w:r w:rsidR="0F1835C8" w:rsidRPr="00E204F6">
        <w:rPr>
          <w:rFonts w:ascii="Times New Roman" w:eastAsia="Times New Roman" w:hAnsi="Times New Roman" w:cs="Times New Roman"/>
          <w:sz w:val="24"/>
          <w:szCs w:val="24"/>
        </w:rPr>
        <w:t xml:space="preserve">Since </w:t>
      </w:r>
      <w:r w:rsidRPr="00E204F6">
        <w:rPr>
          <w:rFonts w:ascii="Times New Roman" w:eastAsia="Times New Roman" w:hAnsi="Times New Roman" w:cs="Times New Roman"/>
          <w:sz w:val="24"/>
          <w:szCs w:val="24"/>
        </w:rPr>
        <w:t>the follow-up of the TROPIC trial was not long enough to capture lifetime outcomes</w:t>
      </w:r>
      <w:r w:rsidR="6DBF5EBE" w:rsidRPr="00E204F6">
        <w:rPr>
          <w:rFonts w:ascii="Times New Roman" w:eastAsia="Times New Roman" w:hAnsi="Times New Roman" w:cs="Times New Roman"/>
          <w:sz w:val="24"/>
          <w:szCs w:val="24"/>
        </w:rPr>
        <w:t xml:space="preserve">, a </w:t>
      </w:r>
      <w:r w:rsidRPr="00E204F6">
        <w:rPr>
          <w:rFonts w:ascii="Times New Roman" w:eastAsia="Times New Roman" w:hAnsi="Times New Roman" w:cs="Times New Roman"/>
          <w:sz w:val="24"/>
          <w:szCs w:val="24"/>
        </w:rPr>
        <w:t xml:space="preserve">parametric survival analysis was </w:t>
      </w:r>
      <w:r w:rsidR="5984DBB5" w:rsidRPr="00E204F6">
        <w:rPr>
          <w:rFonts w:ascii="Times New Roman" w:eastAsia="Times New Roman" w:hAnsi="Times New Roman" w:cs="Times New Roman"/>
          <w:sz w:val="24"/>
          <w:szCs w:val="24"/>
        </w:rPr>
        <w:t xml:space="preserve">conducted </w:t>
      </w:r>
      <w:r w:rsidR="79A64D7D" w:rsidRPr="00E204F6">
        <w:rPr>
          <w:rFonts w:ascii="Times New Roman" w:eastAsia="Times New Roman" w:hAnsi="Times New Roman" w:cs="Times New Roman"/>
          <w:sz w:val="24"/>
          <w:szCs w:val="24"/>
        </w:rPr>
        <w:t>to</w:t>
      </w:r>
      <w:r w:rsidRPr="00E204F6">
        <w:rPr>
          <w:rFonts w:ascii="Times New Roman" w:eastAsia="Times New Roman" w:hAnsi="Times New Roman" w:cs="Times New Roman"/>
          <w:sz w:val="24"/>
          <w:szCs w:val="24"/>
        </w:rPr>
        <w:t xml:space="preserve"> extrapolate the overall survival and progression free survival</w:t>
      </w:r>
      <w:r w:rsidR="3F93DEA5" w:rsidRPr="00E204F6">
        <w:rPr>
          <w:rFonts w:ascii="Times New Roman" w:eastAsia="Times New Roman" w:hAnsi="Times New Roman" w:cs="Times New Roman"/>
          <w:sz w:val="24"/>
          <w:szCs w:val="24"/>
        </w:rPr>
        <w:t xml:space="preserve"> </w:t>
      </w:r>
      <w:r w:rsidRPr="00E204F6">
        <w:rPr>
          <w:rFonts w:ascii="Times New Roman" w:eastAsia="Times New Roman" w:hAnsi="Times New Roman" w:cs="Times New Roman"/>
          <w:sz w:val="24"/>
          <w:szCs w:val="24"/>
        </w:rPr>
        <w:t xml:space="preserve">beyond the data provided by </w:t>
      </w:r>
      <w:r w:rsidR="50370678" w:rsidRPr="00E204F6">
        <w:rPr>
          <w:rFonts w:ascii="Times New Roman" w:eastAsia="Times New Roman" w:hAnsi="Times New Roman" w:cs="Times New Roman"/>
          <w:sz w:val="24"/>
          <w:szCs w:val="24"/>
        </w:rPr>
        <w:t>De Bono</w:t>
      </w:r>
      <w:r w:rsidRPr="00E204F6">
        <w:rPr>
          <w:rFonts w:ascii="Times New Roman" w:eastAsia="Times New Roman" w:hAnsi="Times New Roman" w:cs="Times New Roman"/>
          <w:sz w:val="24"/>
          <w:szCs w:val="24"/>
        </w:rPr>
        <w:t xml:space="preserve"> et al. (2010) and Bahl et al. (2013).</w:t>
      </w:r>
    </w:p>
    <w:p w14:paraId="0567956A" w14:textId="08AD1DDD" w:rsidR="76C0B922" w:rsidRPr="00E204F6" w:rsidRDefault="76C0B922" w:rsidP="76C0B922">
      <w:pPr>
        <w:spacing w:after="0"/>
        <w:rPr>
          <w:rFonts w:ascii="Times New Roman" w:eastAsia="Times New Roman" w:hAnsi="Times New Roman" w:cs="Times New Roman"/>
          <w:sz w:val="24"/>
          <w:szCs w:val="24"/>
        </w:rPr>
      </w:pPr>
    </w:p>
    <w:p w14:paraId="13DEAE03" w14:textId="549B7A91" w:rsidR="7FF94EF3" w:rsidRPr="00E204F6" w:rsidRDefault="44133314" w:rsidP="76C0B922">
      <w:pPr>
        <w:spacing w:after="0"/>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The data for the primary endpoint, </w:t>
      </w:r>
      <w:r w:rsidR="392A83FB" w:rsidRPr="00E204F6">
        <w:rPr>
          <w:rFonts w:ascii="Times New Roman" w:eastAsia="Times New Roman" w:hAnsi="Times New Roman" w:cs="Times New Roman"/>
          <w:sz w:val="24"/>
          <w:szCs w:val="24"/>
        </w:rPr>
        <w:t>OS</w:t>
      </w:r>
      <w:r w:rsidRPr="00E204F6">
        <w:rPr>
          <w:rFonts w:ascii="Times New Roman" w:eastAsia="Times New Roman" w:hAnsi="Times New Roman" w:cs="Times New Roman"/>
          <w:sz w:val="24"/>
          <w:szCs w:val="24"/>
        </w:rPr>
        <w:t xml:space="preserve">, was </w:t>
      </w:r>
      <w:r w:rsidR="133E913E" w:rsidRPr="00E204F6">
        <w:rPr>
          <w:rFonts w:ascii="Times New Roman" w:eastAsia="Times New Roman" w:hAnsi="Times New Roman" w:cs="Times New Roman"/>
          <w:sz w:val="24"/>
          <w:szCs w:val="24"/>
        </w:rPr>
        <w:t xml:space="preserve">derived </w:t>
      </w:r>
      <w:r w:rsidRPr="00E204F6">
        <w:rPr>
          <w:rFonts w:ascii="Times New Roman" w:eastAsia="Times New Roman" w:hAnsi="Times New Roman" w:cs="Times New Roman"/>
          <w:sz w:val="24"/>
          <w:szCs w:val="24"/>
        </w:rPr>
        <w:t>from the paper by Bahl et al. (2013)</w:t>
      </w:r>
      <w:r w:rsidR="33C7EA77" w:rsidRPr="00E204F6">
        <w:rPr>
          <w:rFonts w:ascii="Times New Roman" w:eastAsia="Times New Roman" w:hAnsi="Times New Roman" w:cs="Times New Roman"/>
          <w:sz w:val="24"/>
          <w:szCs w:val="24"/>
        </w:rPr>
        <w:t xml:space="preserve">. This paper was chosen over </w:t>
      </w:r>
      <w:r w:rsidR="29AB32D9" w:rsidRPr="00E204F6">
        <w:rPr>
          <w:rFonts w:ascii="Times New Roman" w:eastAsia="Times New Roman" w:hAnsi="Times New Roman" w:cs="Times New Roman"/>
          <w:sz w:val="24"/>
          <w:szCs w:val="24"/>
        </w:rPr>
        <w:t>Bono et al. (2010)</w:t>
      </w:r>
      <w:r w:rsidR="5C439229" w:rsidRPr="00E204F6">
        <w:rPr>
          <w:rFonts w:ascii="Times New Roman" w:eastAsia="Times New Roman" w:hAnsi="Times New Roman" w:cs="Times New Roman"/>
          <w:sz w:val="24"/>
          <w:szCs w:val="24"/>
        </w:rPr>
        <w:t xml:space="preserve"> because of a </w:t>
      </w:r>
      <w:r w:rsidR="29AB32D9" w:rsidRPr="00E204F6">
        <w:rPr>
          <w:rFonts w:ascii="Times New Roman" w:eastAsia="Times New Roman" w:hAnsi="Times New Roman" w:cs="Times New Roman"/>
          <w:sz w:val="24"/>
          <w:szCs w:val="24"/>
        </w:rPr>
        <w:t xml:space="preserve">longer follow-up </w:t>
      </w:r>
      <w:r w:rsidR="272C4EEF" w:rsidRPr="00E204F6">
        <w:rPr>
          <w:rFonts w:ascii="Times New Roman" w:eastAsia="Times New Roman" w:hAnsi="Times New Roman" w:cs="Times New Roman"/>
          <w:sz w:val="24"/>
          <w:szCs w:val="24"/>
        </w:rPr>
        <w:t>period, extending to 2 years or longer compared to a maximum of 2 years</w:t>
      </w:r>
      <w:r w:rsidR="29AB32D9" w:rsidRPr="00E204F6">
        <w:rPr>
          <w:rFonts w:ascii="Times New Roman" w:eastAsia="Times New Roman" w:hAnsi="Times New Roman" w:cs="Times New Roman"/>
          <w:sz w:val="24"/>
          <w:szCs w:val="24"/>
        </w:rPr>
        <w:t xml:space="preserve"> in De Bono et al. (2010). This longer follow-up resulted in less censoring and more patients at risk in the tail </w:t>
      </w:r>
      <w:r w:rsidR="3EDDAD79" w:rsidRPr="00E204F6">
        <w:rPr>
          <w:rFonts w:ascii="Times New Roman" w:eastAsia="Times New Roman" w:hAnsi="Times New Roman" w:cs="Times New Roman"/>
          <w:sz w:val="24"/>
          <w:szCs w:val="24"/>
        </w:rPr>
        <w:t>of the curve, providing a more reliable basis for extrapolation. OS was operationalised as the time of randomisation until the death of the patient and presented in a Kaplan-Meier curve (Bahl</w:t>
      </w:r>
      <w:r w:rsidR="4E68713F" w:rsidRPr="00E204F6">
        <w:rPr>
          <w:rFonts w:ascii="Times New Roman" w:eastAsia="Times New Roman" w:hAnsi="Times New Roman" w:cs="Times New Roman"/>
          <w:sz w:val="24"/>
          <w:szCs w:val="24"/>
        </w:rPr>
        <w:t xml:space="preserve"> et al., 2013)</w:t>
      </w:r>
    </w:p>
    <w:p w14:paraId="6E2D15FA" w14:textId="4F1BA093" w:rsidR="7FF94EF3" w:rsidRPr="00E204F6" w:rsidRDefault="7FF94EF3" w:rsidP="76C0B922">
      <w:pPr>
        <w:spacing w:after="0"/>
        <w:rPr>
          <w:rFonts w:ascii="Times New Roman" w:eastAsia="Times New Roman" w:hAnsi="Times New Roman" w:cs="Times New Roman"/>
          <w:sz w:val="24"/>
          <w:szCs w:val="24"/>
        </w:rPr>
      </w:pPr>
    </w:p>
    <w:p w14:paraId="3D8B6B4A" w14:textId="3426F183" w:rsidR="7FF94EF3" w:rsidRPr="00E204F6" w:rsidRDefault="4E68713F" w:rsidP="76C0B922">
      <w:pPr>
        <w:spacing w:after="0"/>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The data for the secondary endpoint, PFS, was derived from De Bono et al. (2010), as this endpoint was not reported in Bahl et al. (2013). </w:t>
      </w:r>
      <w:r w:rsidR="257E11C0" w:rsidRPr="00E204F6">
        <w:rPr>
          <w:rFonts w:ascii="Times New Roman" w:eastAsia="Times New Roman" w:hAnsi="Times New Roman" w:cs="Times New Roman"/>
          <w:sz w:val="24"/>
          <w:szCs w:val="24"/>
        </w:rPr>
        <w:t>This endpoint encompasses important data for our extrapolation, as we need to distinguish between the progressed and progression-free health states in the partition</w:t>
      </w:r>
      <w:r w:rsidR="0A5715FD" w:rsidRPr="00E204F6">
        <w:rPr>
          <w:rFonts w:ascii="Times New Roman" w:eastAsia="Times New Roman" w:hAnsi="Times New Roman" w:cs="Times New Roman"/>
          <w:sz w:val="24"/>
          <w:szCs w:val="24"/>
        </w:rPr>
        <w:t>ed</w:t>
      </w:r>
      <w:r w:rsidR="257E11C0" w:rsidRPr="00E204F6">
        <w:rPr>
          <w:rFonts w:ascii="Times New Roman" w:eastAsia="Times New Roman" w:hAnsi="Times New Roman" w:cs="Times New Roman"/>
          <w:sz w:val="24"/>
          <w:szCs w:val="24"/>
        </w:rPr>
        <w:t xml:space="preserve"> survival model. </w:t>
      </w:r>
      <w:r w:rsidR="0044BDF7" w:rsidRPr="00E204F6">
        <w:rPr>
          <w:rFonts w:ascii="Times New Roman" w:eastAsia="Times New Roman" w:hAnsi="Times New Roman" w:cs="Times New Roman"/>
          <w:sz w:val="24"/>
          <w:szCs w:val="24"/>
        </w:rPr>
        <w:t>PFS</w:t>
      </w:r>
      <w:r w:rsidR="257E11C0" w:rsidRPr="00E204F6">
        <w:rPr>
          <w:rFonts w:ascii="Times New Roman" w:eastAsia="Times New Roman" w:hAnsi="Times New Roman" w:cs="Times New Roman"/>
          <w:sz w:val="24"/>
          <w:szCs w:val="24"/>
        </w:rPr>
        <w:t xml:space="preserve"> was operationalised as the time of randomisation until the time of </w:t>
      </w:r>
      <w:r w:rsidR="645C7A15" w:rsidRPr="00E204F6">
        <w:rPr>
          <w:rFonts w:ascii="Times New Roman" w:eastAsia="Times New Roman" w:hAnsi="Times New Roman" w:cs="Times New Roman"/>
          <w:sz w:val="24"/>
          <w:szCs w:val="24"/>
        </w:rPr>
        <w:t>progression and was also presented as a KM curve</w:t>
      </w:r>
      <w:r w:rsidR="257E11C0" w:rsidRPr="00E204F6">
        <w:rPr>
          <w:rFonts w:ascii="Times New Roman" w:eastAsia="Times New Roman" w:hAnsi="Times New Roman" w:cs="Times New Roman"/>
          <w:sz w:val="24"/>
          <w:szCs w:val="24"/>
        </w:rPr>
        <w:t xml:space="preserve"> (</w:t>
      </w:r>
      <w:r w:rsidR="50370678" w:rsidRPr="00E204F6">
        <w:rPr>
          <w:rFonts w:ascii="Times New Roman" w:eastAsia="Times New Roman" w:hAnsi="Times New Roman" w:cs="Times New Roman"/>
          <w:sz w:val="24"/>
          <w:szCs w:val="24"/>
        </w:rPr>
        <w:t>De Bono</w:t>
      </w:r>
      <w:r w:rsidR="257E11C0" w:rsidRPr="00E204F6">
        <w:rPr>
          <w:rFonts w:ascii="Times New Roman" w:eastAsia="Times New Roman" w:hAnsi="Times New Roman" w:cs="Times New Roman"/>
          <w:sz w:val="24"/>
          <w:szCs w:val="24"/>
        </w:rPr>
        <w:t xml:space="preserve"> et al., 2010).</w:t>
      </w:r>
    </w:p>
    <w:p w14:paraId="7402496C" w14:textId="411DBF67" w:rsidR="76C0B922" w:rsidRPr="00E204F6" w:rsidRDefault="76C0B922" w:rsidP="76C0B922">
      <w:pPr>
        <w:spacing w:after="0"/>
        <w:rPr>
          <w:rFonts w:ascii="Times New Roman" w:eastAsia="Times New Roman" w:hAnsi="Times New Roman" w:cs="Times New Roman"/>
          <w:sz w:val="24"/>
          <w:szCs w:val="24"/>
        </w:rPr>
      </w:pPr>
    </w:p>
    <w:p w14:paraId="74CC0114" w14:textId="6851A406" w:rsidR="7FF94EF3" w:rsidRPr="00E204F6" w:rsidRDefault="5250433A" w:rsidP="76C0B922">
      <w:pPr>
        <w:spacing w:after="0"/>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To inform our economic model, the published </w:t>
      </w:r>
      <w:r w:rsidR="3F11F1D0" w:rsidRPr="00E204F6">
        <w:rPr>
          <w:rFonts w:ascii="Times New Roman" w:eastAsia="Times New Roman" w:hAnsi="Times New Roman" w:cs="Times New Roman"/>
          <w:sz w:val="24"/>
          <w:szCs w:val="24"/>
        </w:rPr>
        <w:t>KM</w:t>
      </w:r>
      <w:r w:rsidRPr="00E204F6">
        <w:rPr>
          <w:rFonts w:ascii="Times New Roman" w:eastAsia="Times New Roman" w:hAnsi="Times New Roman" w:cs="Times New Roman"/>
          <w:sz w:val="24"/>
          <w:szCs w:val="24"/>
        </w:rPr>
        <w:t xml:space="preserve"> curves in both papers had to be extracted and converted into </w:t>
      </w:r>
      <w:r w:rsidR="5DEA8C5C" w:rsidRPr="00E204F6">
        <w:rPr>
          <w:rFonts w:ascii="Times New Roman" w:eastAsia="Times New Roman" w:hAnsi="Times New Roman" w:cs="Times New Roman"/>
          <w:sz w:val="24"/>
          <w:szCs w:val="24"/>
        </w:rPr>
        <w:t xml:space="preserve">parametric survival </w:t>
      </w:r>
      <w:r w:rsidRPr="00E204F6">
        <w:rPr>
          <w:rFonts w:ascii="Times New Roman" w:eastAsia="Times New Roman" w:hAnsi="Times New Roman" w:cs="Times New Roman"/>
          <w:sz w:val="24"/>
          <w:szCs w:val="24"/>
        </w:rPr>
        <w:t xml:space="preserve">functions to allow us to extrapolate the data beyond the trial period. Because individual patient data (IPD) was not available, we had to reconstruct this data to perform our survival analysis. The method used </w:t>
      </w:r>
      <w:r w:rsidR="20537A9B" w:rsidRPr="00E204F6">
        <w:rPr>
          <w:rFonts w:ascii="Times New Roman" w:eastAsia="Times New Roman" w:hAnsi="Times New Roman" w:cs="Times New Roman"/>
          <w:sz w:val="24"/>
          <w:szCs w:val="24"/>
        </w:rPr>
        <w:t xml:space="preserve">for this </w:t>
      </w:r>
      <w:r w:rsidRPr="00E204F6">
        <w:rPr>
          <w:rFonts w:ascii="Times New Roman" w:eastAsia="Times New Roman" w:hAnsi="Times New Roman" w:cs="Times New Roman"/>
          <w:sz w:val="24"/>
          <w:szCs w:val="24"/>
        </w:rPr>
        <w:t xml:space="preserve">is based on the paper by Hoyle &amp; Henley (2011), </w:t>
      </w:r>
      <w:r w:rsidR="5392F50D" w:rsidRPr="00E204F6">
        <w:rPr>
          <w:rFonts w:ascii="Times New Roman" w:eastAsia="Times New Roman" w:hAnsi="Times New Roman" w:cs="Times New Roman"/>
          <w:sz w:val="24"/>
          <w:szCs w:val="24"/>
        </w:rPr>
        <w:t>who demonstrated that fitting parametric curves directly to published KM curves without reconstructing the underlying IPD</w:t>
      </w:r>
      <w:r w:rsidR="23FE23A0" w:rsidRPr="00E204F6">
        <w:rPr>
          <w:rFonts w:ascii="Times New Roman" w:eastAsia="Times New Roman" w:hAnsi="Times New Roman" w:cs="Times New Roman"/>
          <w:sz w:val="24"/>
          <w:szCs w:val="24"/>
        </w:rPr>
        <w:t>,</w:t>
      </w:r>
      <w:r w:rsidR="5392F50D" w:rsidRPr="00E204F6">
        <w:rPr>
          <w:rFonts w:ascii="Times New Roman" w:eastAsia="Times New Roman" w:hAnsi="Times New Roman" w:cs="Times New Roman"/>
          <w:sz w:val="24"/>
          <w:szCs w:val="24"/>
        </w:rPr>
        <w:t xml:space="preserve"> could be unreliable and negatively influenc</w:t>
      </w:r>
      <w:r w:rsidR="2688FD52" w:rsidRPr="00E204F6">
        <w:rPr>
          <w:rFonts w:ascii="Times New Roman" w:eastAsia="Times New Roman" w:hAnsi="Times New Roman" w:cs="Times New Roman"/>
          <w:sz w:val="24"/>
          <w:szCs w:val="24"/>
        </w:rPr>
        <w:t>ing</w:t>
      </w:r>
      <w:r w:rsidR="5392F50D" w:rsidRPr="00E204F6">
        <w:rPr>
          <w:rFonts w:ascii="Times New Roman" w:eastAsia="Times New Roman" w:hAnsi="Times New Roman" w:cs="Times New Roman"/>
          <w:sz w:val="24"/>
          <w:szCs w:val="24"/>
        </w:rPr>
        <w:t xml:space="preserve"> the reimbursement decision of a new intervention.</w:t>
      </w:r>
    </w:p>
    <w:p w14:paraId="34AB68D0" w14:textId="336ED522" w:rsidR="7FF94EF3" w:rsidRPr="00E204F6" w:rsidRDefault="7FF94EF3" w:rsidP="76C0B922">
      <w:pPr>
        <w:spacing w:after="0"/>
        <w:rPr>
          <w:rFonts w:ascii="Times New Roman" w:eastAsia="Times New Roman" w:hAnsi="Times New Roman" w:cs="Times New Roman"/>
          <w:sz w:val="24"/>
          <w:szCs w:val="24"/>
        </w:rPr>
      </w:pPr>
    </w:p>
    <w:p w14:paraId="4B77B9A5" w14:textId="613211F9" w:rsidR="7FF94EF3" w:rsidRPr="00E204F6" w:rsidRDefault="5392F50D" w:rsidP="76C0B922">
      <w:pPr>
        <w:spacing w:after="0"/>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Parametric survival models were </w:t>
      </w:r>
      <w:r w:rsidR="1AD28D63" w:rsidRPr="00E204F6">
        <w:rPr>
          <w:rFonts w:ascii="Times New Roman" w:eastAsia="Times New Roman" w:hAnsi="Times New Roman" w:cs="Times New Roman"/>
          <w:sz w:val="24"/>
          <w:szCs w:val="24"/>
        </w:rPr>
        <w:t>used</w:t>
      </w:r>
      <w:r w:rsidRPr="00E204F6">
        <w:rPr>
          <w:rFonts w:ascii="Times New Roman" w:eastAsia="Times New Roman" w:hAnsi="Times New Roman" w:cs="Times New Roman"/>
          <w:sz w:val="24"/>
          <w:szCs w:val="24"/>
        </w:rPr>
        <w:t xml:space="preserve"> because they allow</w:t>
      </w:r>
      <w:r w:rsidR="3D37D032" w:rsidRPr="00E204F6">
        <w:rPr>
          <w:rFonts w:ascii="Times New Roman" w:eastAsia="Times New Roman" w:hAnsi="Times New Roman" w:cs="Times New Roman"/>
          <w:sz w:val="24"/>
          <w:szCs w:val="24"/>
        </w:rPr>
        <w:t xml:space="preserve"> for</w:t>
      </w:r>
      <w:r w:rsidRPr="00E204F6">
        <w:rPr>
          <w:rFonts w:ascii="Times New Roman" w:eastAsia="Times New Roman" w:hAnsi="Times New Roman" w:cs="Times New Roman"/>
          <w:sz w:val="24"/>
          <w:szCs w:val="24"/>
        </w:rPr>
        <w:t xml:space="preserve"> extrapolation beyond the observed trial period, which is required to estimate lifetime outcomes in cost-effectiveness analyses. The execution of the survival analysis consisted of three parts</w:t>
      </w:r>
      <w:r w:rsidR="44CEF2AB" w:rsidRPr="00E204F6">
        <w:rPr>
          <w:rFonts w:ascii="Times New Roman" w:eastAsia="Times New Roman" w:hAnsi="Times New Roman" w:cs="Times New Roman"/>
          <w:sz w:val="24"/>
          <w:szCs w:val="24"/>
        </w:rPr>
        <w:t xml:space="preserve">. First, a reconstruction of the IPD was needed. Second, parametric distributions were fitted to </w:t>
      </w:r>
      <w:r w:rsidR="0B5EA3A9" w:rsidRPr="00E204F6">
        <w:rPr>
          <w:rFonts w:ascii="Times New Roman" w:eastAsia="Times New Roman" w:hAnsi="Times New Roman" w:cs="Times New Roman"/>
          <w:sz w:val="24"/>
          <w:szCs w:val="24"/>
        </w:rPr>
        <w:t xml:space="preserve">this </w:t>
      </w:r>
      <w:r w:rsidR="44CEF2AB" w:rsidRPr="00E204F6">
        <w:rPr>
          <w:rFonts w:ascii="Times New Roman" w:eastAsia="Times New Roman" w:hAnsi="Times New Roman" w:cs="Times New Roman"/>
          <w:sz w:val="24"/>
          <w:szCs w:val="24"/>
        </w:rPr>
        <w:t>data. Lastly, the data was extrapolated over a lifetime horizon with the chosen parametric distribution.</w:t>
      </w:r>
      <w:r w:rsidR="7596D946" w:rsidRPr="00E204F6">
        <w:rPr>
          <w:rFonts w:ascii="Times New Roman" w:eastAsia="Times New Roman" w:hAnsi="Times New Roman" w:cs="Times New Roman"/>
          <w:sz w:val="24"/>
          <w:szCs w:val="24"/>
        </w:rPr>
        <w:t xml:space="preserve"> </w:t>
      </w:r>
      <w:r w:rsidR="44CEF2AB" w:rsidRPr="00E204F6">
        <w:rPr>
          <w:rFonts w:ascii="Times New Roman" w:eastAsia="Times New Roman" w:hAnsi="Times New Roman" w:cs="Times New Roman"/>
          <w:sz w:val="24"/>
          <w:szCs w:val="24"/>
        </w:rPr>
        <w:t xml:space="preserve">These steps are hereafter further </w:t>
      </w:r>
      <w:r w:rsidR="7BFC12F8" w:rsidRPr="00E204F6">
        <w:rPr>
          <w:rFonts w:ascii="Times New Roman" w:eastAsia="Times New Roman" w:hAnsi="Times New Roman" w:cs="Times New Roman"/>
          <w:sz w:val="24"/>
          <w:szCs w:val="24"/>
        </w:rPr>
        <w:t>elucidated</w:t>
      </w:r>
      <w:r w:rsidR="22900E4F" w:rsidRPr="00E204F6">
        <w:rPr>
          <w:rFonts w:ascii="Times New Roman" w:eastAsia="Times New Roman" w:hAnsi="Times New Roman" w:cs="Times New Roman"/>
          <w:sz w:val="24"/>
          <w:szCs w:val="24"/>
        </w:rPr>
        <w:t>.</w:t>
      </w:r>
    </w:p>
    <w:p w14:paraId="727D44FA" w14:textId="15FA9111" w:rsidR="43EE1B5E" w:rsidRPr="00E204F6" w:rsidRDefault="43EE1B5E" w:rsidP="5C731B8B">
      <w:pPr>
        <w:rPr>
          <w:rFonts w:ascii="Times New Roman" w:eastAsia="Times New Roman" w:hAnsi="Times New Roman" w:cs="Times New Roman"/>
          <w:sz w:val="24"/>
          <w:szCs w:val="24"/>
        </w:rPr>
      </w:pPr>
    </w:p>
    <w:p w14:paraId="1C23E4A8" w14:textId="737C77E4" w:rsidR="7FF94EF3" w:rsidRPr="00E204F6" w:rsidRDefault="257E11C0" w:rsidP="76C0B922">
      <w:pPr>
        <w:spacing w:after="0"/>
        <w:rPr>
          <w:rFonts w:ascii="Times New Roman" w:eastAsia="Times New Roman" w:hAnsi="Times New Roman" w:cs="Times New Roman"/>
          <w:i/>
          <w:iCs/>
          <w:sz w:val="24"/>
          <w:szCs w:val="24"/>
        </w:rPr>
      </w:pPr>
      <w:r w:rsidRPr="00E204F6">
        <w:rPr>
          <w:rFonts w:ascii="Times New Roman" w:eastAsia="Times New Roman" w:hAnsi="Times New Roman" w:cs="Times New Roman"/>
          <w:i/>
          <w:iCs/>
          <w:sz w:val="24"/>
          <w:szCs w:val="24"/>
        </w:rPr>
        <w:t>Reconstructing the IPD</w:t>
      </w:r>
    </w:p>
    <w:p w14:paraId="53415DFC" w14:textId="6D242349" w:rsidR="43EE1B5E" w:rsidRPr="00E204F6" w:rsidRDefault="44CEF2AB" w:rsidP="76C0B922">
      <w:pPr>
        <w:spacing w:after="0"/>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First, the X and Y points from the </w:t>
      </w:r>
      <w:r w:rsidR="5F232F60" w:rsidRPr="00E204F6">
        <w:rPr>
          <w:rFonts w:ascii="Times New Roman" w:eastAsia="Times New Roman" w:hAnsi="Times New Roman" w:cs="Times New Roman"/>
          <w:sz w:val="24"/>
          <w:szCs w:val="24"/>
        </w:rPr>
        <w:t>OS</w:t>
      </w:r>
      <w:r w:rsidRPr="00E204F6">
        <w:rPr>
          <w:rFonts w:ascii="Times New Roman" w:eastAsia="Times New Roman" w:hAnsi="Times New Roman" w:cs="Times New Roman"/>
          <w:sz w:val="24"/>
          <w:szCs w:val="24"/>
        </w:rPr>
        <w:t xml:space="preserve"> and </w:t>
      </w:r>
      <w:r w:rsidR="2ADDA9FC" w:rsidRPr="00E204F6">
        <w:rPr>
          <w:rFonts w:ascii="Times New Roman" w:eastAsia="Times New Roman" w:hAnsi="Times New Roman" w:cs="Times New Roman"/>
          <w:sz w:val="24"/>
          <w:szCs w:val="24"/>
        </w:rPr>
        <w:t>PFS KM</w:t>
      </w:r>
      <w:r w:rsidRPr="00E204F6">
        <w:rPr>
          <w:rFonts w:ascii="Times New Roman" w:eastAsia="Times New Roman" w:hAnsi="Times New Roman" w:cs="Times New Roman"/>
          <w:sz w:val="24"/>
          <w:szCs w:val="24"/>
        </w:rPr>
        <w:t xml:space="preserve"> curves were extracted using the </w:t>
      </w:r>
      <w:proofErr w:type="spellStart"/>
      <w:r w:rsidRPr="00E204F6">
        <w:rPr>
          <w:rFonts w:ascii="Times New Roman" w:eastAsia="Times New Roman" w:hAnsi="Times New Roman" w:cs="Times New Roman"/>
          <w:sz w:val="24"/>
          <w:szCs w:val="24"/>
        </w:rPr>
        <w:t>WebPlotDigitizer</w:t>
      </w:r>
      <w:proofErr w:type="spellEnd"/>
      <w:r w:rsidR="648AD01C" w:rsidRPr="00E204F6">
        <w:rPr>
          <w:rFonts w:ascii="Times New Roman" w:eastAsia="Times New Roman" w:hAnsi="Times New Roman" w:cs="Times New Roman"/>
          <w:sz w:val="24"/>
          <w:szCs w:val="24"/>
        </w:rPr>
        <w:t xml:space="preserve"> </w:t>
      </w:r>
      <w:r w:rsidRPr="00E204F6">
        <w:rPr>
          <w:rFonts w:ascii="Times New Roman" w:eastAsia="Times New Roman" w:hAnsi="Times New Roman" w:cs="Times New Roman"/>
          <w:sz w:val="24"/>
          <w:szCs w:val="24"/>
        </w:rPr>
        <w:t>4.1 software. These datapoints were thereafter exported into an Excel</w:t>
      </w:r>
      <w:r w:rsidR="74607D16" w:rsidRPr="00E204F6">
        <w:rPr>
          <w:rFonts w:ascii="Times New Roman" w:eastAsia="Times New Roman" w:hAnsi="Times New Roman" w:cs="Times New Roman"/>
          <w:sz w:val="24"/>
          <w:szCs w:val="24"/>
        </w:rPr>
        <w:t xml:space="preserve"> </w:t>
      </w:r>
      <w:r w:rsidRPr="00E204F6">
        <w:rPr>
          <w:rFonts w:ascii="Times New Roman" w:eastAsia="Times New Roman" w:hAnsi="Times New Roman" w:cs="Times New Roman"/>
          <w:sz w:val="24"/>
          <w:szCs w:val="24"/>
        </w:rPr>
        <w:t>file.</w:t>
      </w:r>
      <w:r w:rsidR="3EE25106" w:rsidRPr="00E204F6">
        <w:rPr>
          <w:rFonts w:ascii="Times New Roman" w:eastAsia="Times New Roman" w:hAnsi="Times New Roman" w:cs="Times New Roman"/>
          <w:sz w:val="24"/>
          <w:szCs w:val="24"/>
        </w:rPr>
        <w:t xml:space="preserve"> </w:t>
      </w:r>
      <w:r w:rsidRPr="00E204F6">
        <w:rPr>
          <w:rFonts w:ascii="Times New Roman" w:eastAsia="Times New Roman" w:hAnsi="Times New Roman" w:cs="Times New Roman"/>
          <w:sz w:val="24"/>
          <w:szCs w:val="24"/>
        </w:rPr>
        <w:t>The published number of patients at risk and the survival probabilities were then used to fill in the remainder of the Excel sheet.</w:t>
      </w:r>
      <w:r w:rsidR="71BA1799" w:rsidRPr="00E204F6">
        <w:rPr>
          <w:rFonts w:ascii="Times New Roman" w:eastAsia="Times New Roman" w:hAnsi="Times New Roman" w:cs="Times New Roman"/>
          <w:sz w:val="24"/>
          <w:szCs w:val="24"/>
        </w:rPr>
        <w:t xml:space="preserve"> </w:t>
      </w:r>
      <w:r w:rsidRPr="00E204F6">
        <w:rPr>
          <w:rFonts w:ascii="Times New Roman" w:eastAsia="Times New Roman" w:hAnsi="Times New Roman" w:cs="Times New Roman"/>
          <w:sz w:val="24"/>
          <w:szCs w:val="24"/>
        </w:rPr>
        <w:t xml:space="preserve">Lastly, the number of censored patients were estimated, </w:t>
      </w:r>
      <w:r w:rsidR="2B1266A9" w:rsidRPr="00E204F6">
        <w:rPr>
          <w:rFonts w:ascii="Times New Roman" w:eastAsia="Times New Roman" w:hAnsi="Times New Roman" w:cs="Times New Roman"/>
          <w:sz w:val="24"/>
          <w:szCs w:val="24"/>
        </w:rPr>
        <w:t xml:space="preserve">assuming censoring </w:t>
      </w:r>
      <w:r w:rsidR="76CAE425" w:rsidRPr="00E204F6">
        <w:rPr>
          <w:rFonts w:ascii="Times New Roman" w:eastAsia="Times New Roman" w:hAnsi="Times New Roman" w:cs="Times New Roman"/>
          <w:sz w:val="24"/>
          <w:szCs w:val="24"/>
        </w:rPr>
        <w:t>occurred</w:t>
      </w:r>
      <w:r w:rsidR="2B1266A9" w:rsidRPr="00E204F6">
        <w:rPr>
          <w:rFonts w:ascii="Times New Roman" w:eastAsia="Times New Roman" w:hAnsi="Times New Roman" w:cs="Times New Roman"/>
          <w:sz w:val="24"/>
          <w:szCs w:val="24"/>
        </w:rPr>
        <w:t xml:space="preserve"> </w:t>
      </w:r>
      <w:r w:rsidRPr="00E204F6">
        <w:rPr>
          <w:rFonts w:ascii="Times New Roman" w:eastAsia="Times New Roman" w:hAnsi="Times New Roman" w:cs="Times New Roman"/>
          <w:sz w:val="24"/>
          <w:szCs w:val="24"/>
        </w:rPr>
        <w:t xml:space="preserve">at a constant rate within each time interval. </w:t>
      </w:r>
      <w:r w:rsidR="2D50D5B3" w:rsidRPr="00E204F6">
        <w:rPr>
          <w:rFonts w:ascii="Times New Roman" w:eastAsia="Times New Roman" w:hAnsi="Times New Roman" w:cs="Times New Roman"/>
          <w:sz w:val="24"/>
          <w:szCs w:val="24"/>
        </w:rPr>
        <w:t>This assumption is reasonable for OS, as censoring in the TROPIC trial was primarily driven by the end of the study follow-up period, and patient</w:t>
      </w:r>
      <w:r w:rsidR="4FBD5EF4" w:rsidRPr="00E204F6">
        <w:rPr>
          <w:rFonts w:ascii="Times New Roman" w:eastAsia="Times New Roman" w:hAnsi="Times New Roman" w:cs="Times New Roman"/>
          <w:sz w:val="24"/>
          <w:szCs w:val="24"/>
        </w:rPr>
        <w:t xml:space="preserve"> recruitment occurred at a steady pace, leading to censoring patterns (Hoyle &amp; Henley, 2011).</w:t>
      </w:r>
    </w:p>
    <w:p w14:paraId="31D62236" w14:textId="29970078" w:rsidR="7FF94EF3" w:rsidRPr="00E204F6" w:rsidRDefault="67FA0831" w:rsidP="76C0B922">
      <w:pPr>
        <w:spacing w:after="0"/>
        <w:rPr>
          <w:rFonts w:ascii="Times New Roman" w:eastAsia="Times New Roman" w:hAnsi="Times New Roman" w:cs="Times New Roman"/>
          <w:i/>
          <w:iCs/>
          <w:sz w:val="24"/>
          <w:szCs w:val="24"/>
        </w:rPr>
      </w:pPr>
      <w:r w:rsidRPr="00E204F6">
        <w:rPr>
          <w:rFonts w:ascii="Times New Roman" w:eastAsia="Times New Roman" w:hAnsi="Times New Roman" w:cs="Times New Roman"/>
          <w:i/>
          <w:iCs/>
          <w:sz w:val="24"/>
          <w:szCs w:val="24"/>
        </w:rPr>
        <w:lastRenderedPageBreak/>
        <w:t>Fitting parametric distributions and extrapolating data</w:t>
      </w:r>
    </w:p>
    <w:p w14:paraId="791A6D90" w14:textId="1A7F70F2" w:rsidR="2B15AF3B" w:rsidRPr="00E204F6" w:rsidRDefault="2B15AF3B" w:rsidP="76C0B922">
      <w:pPr>
        <w:spacing w:after="0"/>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With the </w:t>
      </w:r>
      <w:r w:rsidR="21A8D84C" w:rsidRPr="00E204F6">
        <w:rPr>
          <w:rFonts w:ascii="Times New Roman" w:eastAsia="Times New Roman" w:hAnsi="Times New Roman" w:cs="Times New Roman"/>
          <w:sz w:val="24"/>
          <w:szCs w:val="24"/>
        </w:rPr>
        <w:t>reconstructed</w:t>
      </w:r>
      <w:r w:rsidRPr="00E204F6">
        <w:rPr>
          <w:rFonts w:ascii="Times New Roman" w:eastAsia="Times New Roman" w:hAnsi="Times New Roman" w:cs="Times New Roman"/>
          <w:sz w:val="24"/>
          <w:szCs w:val="24"/>
        </w:rPr>
        <w:t xml:space="preserve"> IPD, the data c</w:t>
      </w:r>
      <w:r w:rsidR="7E7C6E62" w:rsidRPr="00E204F6">
        <w:rPr>
          <w:rFonts w:ascii="Times New Roman" w:eastAsia="Times New Roman" w:hAnsi="Times New Roman" w:cs="Times New Roman"/>
          <w:sz w:val="24"/>
          <w:szCs w:val="24"/>
        </w:rPr>
        <w:t>ould be</w:t>
      </w:r>
      <w:r w:rsidRPr="00E204F6">
        <w:rPr>
          <w:rFonts w:ascii="Times New Roman" w:eastAsia="Times New Roman" w:hAnsi="Times New Roman" w:cs="Times New Roman"/>
          <w:sz w:val="24"/>
          <w:szCs w:val="24"/>
        </w:rPr>
        <w:t xml:space="preserve"> </w:t>
      </w:r>
      <w:r w:rsidR="083D9E07" w:rsidRPr="00E204F6">
        <w:rPr>
          <w:rFonts w:ascii="Times New Roman" w:eastAsia="Times New Roman" w:hAnsi="Times New Roman" w:cs="Times New Roman"/>
          <w:sz w:val="24"/>
          <w:szCs w:val="24"/>
        </w:rPr>
        <w:t>e</w:t>
      </w:r>
      <w:r w:rsidRPr="00E204F6">
        <w:rPr>
          <w:rFonts w:ascii="Times New Roman" w:eastAsia="Times New Roman" w:hAnsi="Times New Roman" w:cs="Times New Roman"/>
          <w:sz w:val="24"/>
          <w:szCs w:val="24"/>
        </w:rPr>
        <w:t xml:space="preserve">xtrapolated to a life-time horizon. All analyses were performed in R version 2026.01.0+392. </w:t>
      </w:r>
      <w:r w:rsidR="494BC26D" w:rsidRPr="00E204F6">
        <w:rPr>
          <w:rFonts w:ascii="Times New Roman" w:eastAsia="Times New Roman" w:hAnsi="Times New Roman" w:cs="Times New Roman"/>
          <w:sz w:val="24"/>
          <w:szCs w:val="24"/>
        </w:rPr>
        <w:t xml:space="preserve">The following packages were used: the survival package, the </w:t>
      </w:r>
      <w:proofErr w:type="spellStart"/>
      <w:r w:rsidR="494BC26D" w:rsidRPr="00E204F6">
        <w:rPr>
          <w:rFonts w:ascii="Times New Roman" w:eastAsia="Times New Roman" w:hAnsi="Times New Roman" w:cs="Times New Roman"/>
          <w:sz w:val="24"/>
          <w:szCs w:val="24"/>
        </w:rPr>
        <w:t>readxl</w:t>
      </w:r>
      <w:proofErr w:type="spellEnd"/>
      <w:r w:rsidR="494BC26D" w:rsidRPr="00E204F6">
        <w:rPr>
          <w:rFonts w:ascii="Times New Roman" w:eastAsia="Times New Roman" w:hAnsi="Times New Roman" w:cs="Times New Roman"/>
          <w:sz w:val="24"/>
          <w:szCs w:val="24"/>
        </w:rPr>
        <w:t xml:space="preserve"> package and the </w:t>
      </w:r>
      <w:proofErr w:type="spellStart"/>
      <w:r w:rsidR="494BC26D" w:rsidRPr="00E204F6">
        <w:rPr>
          <w:rFonts w:ascii="Times New Roman" w:eastAsia="Times New Roman" w:hAnsi="Times New Roman" w:cs="Times New Roman"/>
          <w:sz w:val="24"/>
          <w:szCs w:val="24"/>
        </w:rPr>
        <w:t>openclsx</w:t>
      </w:r>
      <w:proofErr w:type="spellEnd"/>
      <w:r w:rsidR="494BC26D" w:rsidRPr="00E204F6">
        <w:rPr>
          <w:rFonts w:ascii="Times New Roman" w:eastAsia="Times New Roman" w:hAnsi="Times New Roman" w:cs="Times New Roman"/>
          <w:sz w:val="24"/>
          <w:szCs w:val="24"/>
        </w:rPr>
        <w:t xml:space="preserve"> package.</w:t>
      </w:r>
    </w:p>
    <w:p w14:paraId="553917D3" w14:textId="3AD1EF7E" w:rsidR="5C731B8B" w:rsidRPr="00E204F6" w:rsidRDefault="5C731B8B" w:rsidP="76C0B922">
      <w:pPr>
        <w:spacing w:after="0"/>
        <w:rPr>
          <w:rFonts w:ascii="Times New Roman" w:eastAsia="Times New Roman" w:hAnsi="Times New Roman" w:cs="Times New Roman"/>
          <w:sz w:val="24"/>
          <w:szCs w:val="24"/>
        </w:rPr>
      </w:pPr>
    </w:p>
    <w:p w14:paraId="48BD3271" w14:textId="702D8364" w:rsidR="7FF94EF3" w:rsidRPr="00E204F6" w:rsidRDefault="494BC26D" w:rsidP="76C0B922">
      <w:pPr>
        <w:spacing w:after="0"/>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Time points for censored individuals and individuals with an event were extracted from the reconstructed IPD. With the assumption of constant interval censoring, </w:t>
      </w:r>
      <w:r w:rsidR="2B15AF3B" w:rsidRPr="00E204F6">
        <w:rPr>
          <w:rFonts w:ascii="Times New Roman" w:eastAsia="Times New Roman" w:hAnsi="Times New Roman" w:cs="Times New Roman"/>
          <w:sz w:val="24"/>
          <w:szCs w:val="24"/>
        </w:rPr>
        <w:t xml:space="preserve">survival models for each distribution - exponential, Weibull, lognormal and loglogistic - were </w:t>
      </w:r>
      <w:r w:rsidR="585311D2" w:rsidRPr="00E204F6">
        <w:rPr>
          <w:rFonts w:ascii="Times New Roman" w:eastAsia="Times New Roman" w:hAnsi="Times New Roman" w:cs="Times New Roman"/>
          <w:sz w:val="24"/>
          <w:szCs w:val="24"/>
        </w:rPr>
        <w:t>fitted</w:t>
      </w:r>
      <w:r w:rsidR="2B15AF3B" w:rsidRPr="00E204F6">
        <w:rPr>
          <w:rFonts w:ascii="Times New Roman" w:eastAsia="Times New Roman" w:hAnsi="Times New Roman" w:cs="Times New Roman"/>
          <w:sz w:val="24"/>
          <w:szCs w:val="24"/>
        </w:rPr>
        <w:t xml:space="preserve">. </w:t>
      </w:r>
    </w:p>
    <w:p w14:paraId="58F3D107" w14:textId="37BF2B74" w:rsidR="76C0B922" w:rsidRPr="00E204F6" w:rsidRDefault="76C0B922" w:rsidP="76C0B922">
      <w:pPr>
        <w:spacing w:after="0"/>
        <w:rPr>
          <w:rFonts w:ascii="Times New Roman" w:eastAsia="Times New Roman" w:hAnsi="Times New Roman" w:cs="Times New Roman"/>
          <w:sz w:val="24"/>
          <w:szCs w:val="24"/>
        </w:rPr>
      </w:pPr>
    </w:p>
    <w:p w14:paraId="0B697184" w14:textId="325D82F1" w:rsidR="7FF94EF3" w:rsidRPr="00E204F6" w:rsidRDefault="257E11C0" w:rsidP="76C0B922">
      <w:pPr>
        <w:spacing w:after="0"/>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The model fit was evaluated using </w:t>
      </w:r>
      <w:r w:rsidR="6E55DEFA" w:rsidRPr="00E204F6">
        <w:rPr>
          <w:rFonts w:ascii="Times New Roman" w:eastAsia="Times New Roman" w:hAnsi="Times New Roman" w:cs="Times New Roman"/>
          <w:sz w:val="24"/>
          <w:szCs w:val="24"/>
        </w:rPr>
        <w:t xml:space="preserve">the </w:t>
      </w:r>
      <w:proofErr w:type="spellStart"/>
      <w:r w:rsidRPr="00E204F6">
        <w:rPr>
          <w:rFonts w:ascii="Times New Roman" w:eastAsia="Times New Roman" w:hAnsi="Times New Roman" w:cs="Times New Roman"/>
          <w:sz w:val="24"/>
          <w:szCs w:val="24"/>
        </w:rPr>
        <w:t>Aikaike</w:t>
      </w:r>
      <w:proofErr w:type="spellEnd"/>
      <w:r w:rsidRPr="00E204F6">
        <w:rPr>
          <w:rFonts w:ascii="Times New Roman" w:eastAsia="Times New Roman" w:hAnsi="Times New Roman" w:cs="Times New Roman"/>
          <w:sz w:val="24"/>
          <w:szCs w:val="24"/>
        </w:rPr>
        <w:t xml:space="preserve"> Information Criterion (AIC). </w:t>
      </w:r>
      <w:r w:rsidR="4553E23B" w:rsidRPr="00E204F6">
        <w:rPr>
          <w:rFonts w:ascii="Times New Roman" w:eastAsia="Times New Roman" w:hAnsi="Times New Roman" w:cs="Times New Roman"/>
          <w:sz w:val="24"/>
          <w:szCs w:val="24"/>
        </w:rPr>
        <w:t>A lower AIC indicates a better fit to the observed data. Hereafter</w:t>
      </w:r>
      <w:r w:rsidRPr="00E204F6">
        <w:rPr>
          <w:rFonts w:ascii="Times New Roman" w:eastAsia="Times New Roman" w:hAnsi="Times New Roman" w:cs="Times New Roman"/>
          <w:sz w:val="24"/>
          <w:szCs w:val="24"/>
        </w:rPr>
        <w:t xml:space="preserve">, the survival models were extrapolated over a life-time horizon in R. The curve fitting for </w:t>
      </w:r>
      <w:r w:rsidR="6A604912" w:rsidRPr="00E204F6">
        <w:rPr>
          <w:rFonts w:ascii="Times New Roman" w:eastAsia="Times New Roman" w:hAnsi="Times New Roman" w:cs="Times New Roman"/>
          <w:sz w:val="24"/>
          <w:szCs w:val="24"/>
        </w:rPr>
        <w:t xml:space="preserve">all </w:t>
      </w:r>
      <w:r w:rsidRPr="00E204F6">
        <w:rPr>
          <w:rFonts w:ascii="Times New Roman" w:eastAsia="Times New Roman" w:hAnsi="Times New Roman" w:cs="Times New Roman"/>
          <w:sz w:val="24"/>
          <w:szCs w:val="24"/>
        </w:rPr>
        <w:t>four datasets</w:t>
      </w:r>
      <w:r w:rsidR="01D0753E" w:rsidRPr="00E204F6">
        <w:rPr>
          <w:rFonts w:ascii="Times New Roman" w:eastAsia="Times New Roman" w:hAnsi="Times New Roman" w:cs="Times New Roman"/>
          <w:sz w:val="24"/>
          <w:szCs w:val="24"/>
        </w:rPr>
        <w:t xml:space="preserve"> </w:t>
      </w:r>
      <w:r w:rsidR="164373D9" w:rsidRPr="00E204F6">
        <w:rPr>
          <w:rFonts w:ascii="Times New Roman" w:eastAsia="Times New Roman" w:hAnsi="Times New Roman" w:cs="Times New Roman"/>
          <w:sz w:val="24"/>
          <w:szCs w:val="24"/>
        </w:rPr>
        <w:t xml:space="preserve">- OS </w:t>
      </w:r>
      <w:r w:rsidR="77EA56D4" w:rsidRPr="00E204F6">
        <w:rPr>
          <w:rFonts w:ascii="Times New Roman" w:eastAsia="Times New Roman" w:hAnsi="Times New Roman" w:cs="Times New Roman"/>
          <w:sz w:val="24"/>
          <w:szCs w:val="24"/>
        </w:rPr>
        <w:t>Cabazitaxel</w:t>
      </w:r>
      <w:r w:rsidR="164373D9" w:rsidRPr="00E204F6">
        <w:rPr>
          <w:rFonts w:ascii="Times New Roman" w:eastAsia="Times New Roman" w:hAnsi="Times New Roman" w:cs="Times New Roman"/>
          <w:sz w:val="24"/>
          <w:szCs w:val="24"/>
        </w:rPr>
        <w:t xml:space="preserve">, OS </w:t>
      </w:r>
      <w:r w:rsidR="2E1C6553" w:rsidRPr="00E204F6">
        <w:rPr>
          <w:rFonts w:ascii="Times New Roman" w:eastAsia="Times New Roman" w:hAnsi="Times New Roman" w:cs="Times New Roman"/>
          <w:sz w:val="24"/>
          <w:szCs w:val="24"/>
        </w:rPr>
        <w:t>Mitoxantrone</w:t>
      </w:r>
      <w:r w:rsidR="164373D9" w:rsidRPr="00E204F6">
        <w:rPr>
          <w:rFonts w:ascii="Times New Roman" w:eastAsia="Times New Roman" w:hAnsi="Times New Roman" w:cs="Times New Roman"/>
          <w:sz w:val="24"/>
          <w:szCs w:val="24"/>
        </w:rPr>
        <w:t xml:space="preserve">, PFS </w:t>
      </w:r>
      <w:r w:rsidR="77EA56D4" w:rsidRPr="00E204F6">
        <w:rPr>
          <w:rFonts w:ascii="Times New Roman" w:eastAsia="Times New Roman" w:hAnsi="Times New Roman" w:cs="Times New Roman"/>
          <w:sz w:val="24"/>
          <w:szCs w:val="24"/>
        </w:rPr>
        <w:t>Cabazitaxel</w:t>
      </w:r>
      <w:r w:rsidR="164373D9" w:rsidRPr="00E204F6">
        <w:rPr>
          <w:rFonts w:ascii="Times New Roman" w:eastAsia="Times New Roman" w:hAnsi="Times New Roman" w:cs="Times New Roman"/>
          <w:sz w:val="24"/>
          <w:szCs w:val="24"/>
        </w:rPr>
        <w:t xml:space="preserve">, and PFS </w:t>
      </w:r>
      <w:r w:rsidR="2E1C6553" w:rsidRPr="00E204F6">
        <w:rPr>
          <w:rFonts w:ascii="Times New Roman" w:eastAsia="Times New Roman" w:hAnsi="Times New Roman" w:cs="Times New Roman"/>
          <w:sz w:val="24"/>
          <w:szCs w:val="24"/>
        </w:rPr>
        <w:t>Mitoxantrone</w:t>
      </w:r>
      <w:r w:rsidR="47A70809" w:rsidRPr="00E204F6">
        <w:rPr>
          <w:rFonts w:ascii="Times New Roman" w:eastAsia="Times New Roman" w:hAnsi="Times New Roman" w:cs="Times New Roman"/>
          <w:sz w:val="24"/>
          <w:szCs w:val="24"/>
        </w:rPr>
        <w:t xml:space="preserve"> </w:t>
      </w:r>
      <w:r w:rsidR="164373D9" w:rsidRPr="00E204F6">
        <w:rPr>
          <w:rFonts w:ascii="Times New Roman" w:eastAsia="Times New Roman" w:hAnsi="Times New Roman" w:cs="Times New Roman"/>
          <w:sz w:val="24"/>
          <w:szCs w:val="24"/>
        </w:rPr>
        <w:t>-</w:t>
      </w:r>
      <w:r w:rsidRPr="00E204F6">
        <w:rPr>
          <w:rFonts w:ascii="Times New Roman" w:eastAsia="Times New Roman" w:hAnsi="Times New Roman" w:cs="Times New Roman"/>
          <w:sz w:val="24"/>
          <w:szCs w:val="24"/>
        </w:rPr>
        <w:t xml:space="preserve"> were saved in an Excel file. </w:t>
      </w:r>
    </w:p>
    <w:p w14:paraId="096C2DAC" w14:textId="7D93F2EE" w:rsidR="43EE1B5E" w:rsidRPr="00E204F6" w:rsidRDefault="43EE1B5E" w:rsidP="5C731B8B">
      <w:pPr>
        <w:rPr>
          <w:rFonts w:ascii="Times New Roman" w:eastAsia="Times New Roman" w:hAnsi="Times New Roman" w:cs="Times New Roman"/>
          <w:sz w:val="24"/>
          <w:szCs w:val="24"/>
        </w:rPr>
      </w:pPr>
    </w:p>
    <w:p w14:paraId="3549FCE4" w14:textId="58CACCA6" w:rsidR="7FF94EF3" w:rsidRPr="00E204F6" w:rsidRDefault="257E11C0" w:rsidP="5C731B8B">
      <w:pPr>
        <w:spacing w:after="0"/>
        <w:rPr>
          <w:rFonts w:ascii="Times New Roman" w:eastAsia="Times New Roman" w:hAnsi="Times New Roman" w:cs="Times New Roman"/>
          <w:i/>
          <w:iCs/>
          <w:sz w:val="24"/>
          <w:szCs w:val="24"/>
        </w:rPr>
      </w:pPr>
      <w:r w:rsidRPr="00E204F6">
        <w:rPr>
          <w:rFonts w:ascii="Times New Roman" w:eastAsia="Times New Roman" w:hAnsi="Times New Roman" w:cs="Times New Roman"/>
          <w:i/>
          <w:iCs/>
          <w:sz w:val="24"/>
          <w:szCs w:val="24"/>
        </w:rPr>
        <w:t>Distribution</w:t>
      </w:r>
      <w:r w:rsidR="37300526" w:rsidRPr="00E204F6">
        <w:rPr>
          <w:rFonts w:ascii="Times New Roman" w:eastAsia="Times New Roman" w:hAnsi="Times New Roman" w:cs="Times New Roman"/>
          <w:i/>
          <w:iCs/>
          <w:sz w:val="24"/>
          <w:szCs w:val="24"/>
        </w:rPr>
        <w:t>s</w:t>
      </w:r>
      <w:r w:rsidRPr="00E204F6">
        <w:rPr>
          <w:rFonts w:ascii="Times New Roman" w:eastAsia="Times New Roman" w:hAnsi="Times New Roman" w:cs="Times New Roman"/>
          <w:i/>
          <w:iCs/>
          <w:sz w:val="24"/>
          <w:szCs w:val="24"/>
        </w:rPr>
        <w:t xml:space="preserve"> </w:t>
      </w:r>
      <w:r w:rsidR="6DDA2BA7" w:rsidRPr="00E204F6">
        <w:rPr>
          <w:rFonts w:ascii="Times New Roman" w:eastAsia="Times New Roman" w:hAnsi="Times New Roman" w:cs="Times New Roman"/>
          <w:i/>
          <w:iCs/>
          <w:sz w:val="24"/>
          <w:szCs w:val="24"/>
        </w:rPr>
        <w:t xml:space="preserve"> </w:t>
      </w:r>
    </w:p>
    <w:p w14:paraId="117663B7" w14:textId="428B4E4D" w:rsidR="3A510701" w:rsidRPr="00E204F6" w:rsidRDefault="3A510701" w:rsidP="76C0B922">
      <w:pPr>
        <w:spacing w:after="0"/>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Table</w:t>
      </w:r>
      <w:r w:rsidR="3536DE8D" w:rsidRPr="00E204F6">
        <w:rPr>
          <w:rFonts w:ascii="Times New Roman" w:eastAsia="Times New Roman" w:hAnsi="Times New Roman" w:cs="Times New Roman"/>
          <w:b/>
          <w:bCs/>
          <w:sz w:val="24"/>
          <w:szCs w:val="24"/>
        </w:rPr>
        <w:t xml:space="preserve"> 1</w:t>
      </w:r>
      <w:r w:rsidR="5EE09BE8" w:rsidRPr="00E204F6">
        <w:rPr>
          <w:rFonts w:ascii="Times New Roman" w:eastAsia="Times New Roman" w:hAnsi="Times New Roman" w:cs="Times New Roman"/>
          <w:b/>
          <w:bCs/>
          <w:sz w:val="24"/>
          <w:szCs w:val="24"/>
        </w:rPr>
        <w:t>.</w:t>
      </w:r>
      <w:r w:rsidR="3536DE8D" w:rsidRPr="00E204F6">
        <w:rPr>
          <w:rFonts w:ascii="Times New Roman" w:eastAsia="Times New Roman" w:hAnsi="Times New Roman" w:cs="Times New Roman"/>
          <w:b/>
          <w:bCs/>
          <w:sz w:val="24"/>
          <w:szCs w:val="24"/>
        </w:rPr>
        <w:t xml:space="preserve"> </w:t>
      </w:r>
      <w:r w:rsidR="42B47483" w:rsidRPr="00E204F6">
        <w:rPr>
          <w:rFonts w:ascii="Times New Roman" w:eastAsia="Times New Roman" w:hAnsi="Times New Roman" w:cs="Times New Roman"/>
          <w:sz w:val="24"/>
          <w:szCs w:val="24"/>
        </w:rPr>
        <w:t>S</w:t>
      </w:r>
      <w:r w:rsidR="3536DE8D" w:rsidRPr="00E204F6">
        <w:rPr>
          <w:rFonts w:ascii="Times New Roman" w:eastAsia="Times New Roman" w:hAnsi="Times New Roman" w:cs="Times New Roman"/>
          <w:sz w:val="24"/>
          <w:szCs w:val="24"/>
        </w:rPr>
        <w:t>ummar</w:t>
      </w:r>
      <w:r w:rsidR="2B10A493" w:rsidRPr="00E204F6">
        <w:rPr>
          <w:rFonts w:ascii="Times New Roman" w:eastAsia="Times New Roman" w:hAnsi="Times New Roman" w:cs="Times New Roman"/>
          <w:sz w:val="24"/>
          <w:szCs w:val="24"/>
        </w:rPr>
        <w:t>y of</w:t>
      </w:r>
      <w:r w:rsidR="3536DE8D" w:rsidRPr="00E204F6">
        <w:rPr>
          <w:rFonts w:ascii="Times New Roman" w:eastAsia="Times New Roman" w:hAnsi="Times New Roman" w:cs="Times New Roman"/>
          <w:sz w:val="24"/>
          <w:szCs w:val="24"/>
        </w:rPr>
        <w:t xml:space="preserve"> how well the candidate distributions performed on the AIC  </w:t>
      </w:r>
    </w:p>
    <w:p w14:paraId="21AF6B26" w14:textId="20644D00" w:rsidR="3AC76631" w:rsidRPr="00E204F6" w:rsidRDefault="00FF5014" w:rsidP="3AC76631">
      <w:pPr>
        <w:spacing w:after="0"/>
        <w:rPr>
          <w:rFonts w:ascii="Times New Roman" w:eastAsia="Times New Roman" w:hAnsi="Times New Roman" w:cs="Times New Roman"/>
          <w:i/>
          <w:iCs/>
          <w:color w:val="0000FF"/>
          <w:sz w:val="24"/>
          <w:szCs w:val="24"/>
        </w:rPr>
      </w:pPr>
      <w:r w:rsidRPr="00FF5014">
        <w:rPr>
          <w:rFonts w:ascii="Times New Roman" w:eastAsia="Times New Roman" w:hAnsi="Times New Roman" w:cs="Times New Roman"/>
          <w:i/>
          <w:iCs/>
          <w:noProof/>
          <w:color w:val="0000FF"/>
          <w:sz w:val="24"/>
          <w:szCs w:val="24"/>
        </w:rPr>
        <w:drawing>
          <wp:inline distT="0" distB="0" distL="0" distR="0" wp14:anchorId="42EAB099" wp14:editId="561E7998">
            <wp:extent cx="5657849" cy="1171575"/>
            <wp:effectExtent l="0" t="0" r="635" b="0"/>
            <wp:docPr id="425424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424244" name=""/>
                    <pic:cNvPicPr/>
                  </pic:nvPicPr>
                  <pic:blipFill rotWithShape="1">
                    <a:blip r:embed="rId11"/>
                    <a:srcRect t="11511"/>
                    <a:stretch>
                      <a:fillRect/>
                    </a:stretch>
                  </pic:blipFill>
                  <pic:spPr bwMode="auto">
                    <a:xfrm>
                      <a:off x="0" y="0"/>
                      <a:ext cx="5658640" cy="1171739"/>
                    </a:xfrm>
                    <a:prstGeom prst="rect">
                      <a:avLst/>
                    </a:prstGeom>
                    <a:ln>
                      <a:noFill/>
                    </a:ln>
                    <a:extLst>
                      <a:ext uri="{53640926-AAD7-44D8-BBD7-CCE9431645EC}">
                        <a14:shadowObscured xmlns:a14="http://schemas.microsoft.com/office/drawing/2010/main"/>
                      </a:ext>
                    </a:extLst>
                  </pic:spPr>
                </pic:pic>
              </a:graphicData>
            </a:graphic>
          </wp:inline>
        </w:drawing>
      </w:r>
    </w:p>
    <w:p w14:paraId="7D6F8FD0" w14:textId="426E649F" w:rsidR="2982C6FF" w:rsidRPr="00E204F6" w:rsidRDefault="2982C6FF" w:rsidP="76C0B922">
      <w:pPr>
        <w:spacing w:after="0"/>
        <w:rPr>
          <w:rFonts w:ascii="Times New Roman" w:hAnsi="Times New Roman" w:cs="Times New Roman"/>
        </w:rPr>
      </w:pPr>
      <w:r w:rsidRPr="00E204F6">
        <w:rPr>
          <w:rFonts w:ascii="Times New Roman" w:eastAsia="Times New Roman" w:hAnsi="Times New Roman" w:cs="Times New Roman"/>
          <w:sz w:val="24"/>
          <w:szCs w:val="24"/>
        </w:rPr>
        <w:t>Table 1 presents the AIC values for all candidate parametric distributions fitted to the four survival datasets. For PFS, the exponential distribution provided the best statistical fit for Cabazitaxel, while the log-logistic distribution performed worst. For Mitoxantrone PFS, the log-normal distribution yielded the lowest AIC, with the exponential distribution ranking last. Regarding OS, the log-logistic distribution achieved the best fit for Cabazitaxel, whereas the Weibull distribution performed best for Mitoxantrone OS; in both cases, the exponential distribution produced the highest AIC values, indicating the weakest statistical fit. Notably, the exponential distribution performed poorly across three of the four datasets, suggesting it may not adequately capture the underlying hazard patterns in this population.</w:t>
      </w:r>
    </w:p>
    <w:p w14:paraId="501900A3" w14:textId="79901BFD" w:rsidR="76C0B922" w:rsidRPr="00E204F6" w:rsidRDefault="76C0B922" w:rsidP="76C0B922">
      <w:pPr>
        <w:spacing w:after="0"/>
        <w:rPr>
          <w:rFonts w:ascii="Times New Roman" w:eastAsia="Times New Roman" w:hAnsi="Times New Roman" w:cs="Times New Roman"/>
          <w:sz w:val="24"/>
          <w:szCs w:val="24"/>
        </w:rPr>
      </w:pPr>
    </w:p>
    <w:p w14:paraId="007B3D08" w14:textId="40870CC7" w:rsidR="7FF94EF3" w:rsidRPr="00E204F6" w:rsidRDefault="35E43729" w:rsidP="76C0B922">
      <w:pPr>
        <w:spacing w:after="0"/>
        <w:rPr>
          <w:rFonts w:ascii="Times New Roman" w:eastAsia="Times New Roman" w:hAnsi="Times New Roman" w:cs="Times New Roman"/>
          <w:sz w:val="24"/>
          <w:szCs w:val="24"/>
        </w:rPr>
      </w:pPr>
      <w:r w:rsidRPr="2D08A563">
        <w:rPr>
          <w:rFonts w:ascii="Times New Roman" w:eastAsia="Times New Roman" w:hAnsi="Times New Roman" w:cs="Times New Roman"/>
          <w:sz w:val="24"/>
          <w:szCs w:val="24"/>
        </w:rPr>
        <w:t>I</w:t>
      </w:r>
      <w:r w:rsidR="257E11C0" w:rsidRPr="2D08A563">
        <w:rPr>
          <w:rFonts w:ascii="Times New Roman" w:eastAsia="Times New Roman" w:hAnsi="Times New Roman" w:cs="Times New Roman"/>
          <w:sz w:val="24"/>
          <w:szCs w:val="24"/>
        </w:rPr>
        <w:t xml:space="preserve">t is important to note that </w:t>
      </w:r>
      <w:r w:rsidR="6103F091" w:rsidRPr="2D08A563">
        <w:rPr>
          <w:rFonts w:ascii="Times New Roman" w:eastAsia="Times New Roman" w:hAnsi="Times New Roman" w:cs="Times New Roman"/>
          <w:sz w:val="24"/>
          <w:szCs w:val="24"/>
        </w:rPr>
        <w:t>deciding</w:t>
      </w:r>
      <w:r w:rsidR="257E11C0" w:rsidRPr="2D08A563">
        <w:rPr>
          <w:rFonts w:ascii="Times New Roman" w:eastAsia="Times New Roman" w:hAnsi="Times New Roman" w:cs="Times New Roman"/>
          <w:sz w:val="24"/>
          <w:szCs w:val="24"/>
        </w:rPr>
        <w:t xml:space="preserve"> solely based on the AIC-data </w:t>
      </w:r>
      <w:r w:rsidR="0439C361" w:rsidRPr="2D08A563">
        <w:rPr>
          <w:rFonts w:ascii="Times New Roman" w:eastAsia="Times New Roman" w:hAnsi="Times New Roman" w:cs="Times New Roman"/>
          <w:sz w:val="24"/>
          <w:szCs w:val="24"/>
        </w:rPr>
        <w:t xml:space="preserve">may </w:t>
      </w:r>
      <w:r w:rsidR="257E11C0" w:rsidRPr="2D08A563">
        <w:rPr>
          <w:rFonts w:ascii="Times New Roman" w:eastAsia="Times New Roman" w:hAnsi="Times New Roman" w:cs="Times New Roman"/>
          <w:sz w:val="24"/>
          <w:szCs w:val="24"/>
        </w:rPr>
        <w:t xml:space="preserve">results in clinically implausible extrapolations. Therefore, the visual fit of the parametric curves </w:t>
      </w:r>
      <w:r w:rsidR="17A685BD" w:rsidRPr="2D08A563">
        <w:rPr>
          <w:rFonts w:ascii="Times New Roman" w:eastAsia="Times New Roman" w:hAnsi="Times New Roman" w:cs="Times New Roman"/>
          <w:sz w:val="24"/>
          <w:szCs w:val="24"/>
        </w:rPr>
        <w:t>to the observed KM data was also assessed. The fitted curves for all four datasets are presented in Appendix A (</w:t>
      </w:r>
      <w:r w:rsidR="2E90EA3A" w:rsidRPr="2D08A563">
        <w:rPr>
          <w:rFonts w:ascii="Times New Roman" w:eastAsia="Times New Roman" w:hAnsi="Times New Roman" w:cs="Times New Roman"/>
          <w:sz w:val="24"/>
          <w:szCs w:val="24"/>
        </w:rPr>
        <w:t>Figure</w:t>
      </w:r>
      <w:r w:rsidR="17A685BD" w:rsidRPr="2D08A563">
        <w:rPr>
          <w:rFonts w:ascii="Times New Roman" w:eastAsia="Times New Roman" w:hAnsi="Times New Roman" w:cs="Times New Roman"/>
          <w:sz w:val="24"/>
          <w:szCs w:val="24"/>
        </w:rPr>
        <w:t xml:space="preserve">s </w:t>
      </w:r>
      <w:r w:rsidR="129ED9E7" w:rsidRPr="2D08A563">
        <w:rPr>
          <w:rFonts w:ascii="Times New Roman" w:eastAsia="Times New Roman" w:hAnsi="Times New Roman" w:cs="Times New Roman"/>
          <w:sz w:val="24"/>
          <w:szCs w:val="24"/>
        </w:rPr>
        <w:t>A</w:t>
      </w:r>
      <w:r w:rsidR="17A685BD" w:rsidRPr="2D08A563">
        <w:rPr>
          <w:rFonts w:ascii="Times New Roman" w:eastAsia="Times New Roman" w:hAnsi="Times New Roman" w:cs="Times New Roman"/>
          <w:sz w:val="24"/>
          <w:szCs w:val="24"/>
        </w:rPr>
        <w:t>1-</w:t>
      </w:r>
      <w:r w:rsidR="75A1C549" w:rsidRPr="2D08A563">
        <w:rPr>
          <w:rFonts w:ascii="Times New Roman" w:eastAsia="Times New Roman" w:hAnsi="Times New Roman" w:cs="Times New Roman"/>
          <w:sz w:val="24"/>
          <w:szCs w:val="24"/>
        </w:rPr>
        <w:t>A</w:t>
      </w:r>
      <w:r w:rsidR="17A685BD" w:rsidRPr="2D08A563">
        <w:rPr>
          <w:rFonts w:ascii="Times New Roman" w:eastAsia="Times New Roman" w:hAnsi="Times New Roman" w:cs="Times New Roman"/>
          <w:sz w:val="24"/>
          <w:szCs w:val="24"/>
        </w:rPr>
        <w:t xml:space="preserve">4). </w:t>
      </w:r>
    </w:p>
    <w:p w14:paraId="66A18A2B" w14:textId="53DEE300" w:rsidR="43EE1B5E" w:rsidRPr="00E204F6" w:rsidRDefault="43EE1B5E" w:rsidP="5C731B8B">
      <w:pPr>
        <w:rPr>
          <w:rFonts w:ascii="Times New Roman" w:eastAsia="Times New Roman" w:hAnsi="Times New Roman" w:cs="Times New Roman"/>
          <w:sz w:val="24"/>
          <w:szCs w:val="24"/>
        </w:rPr>
      </w:pPr>
    </w:p>
    <w:p w14:paraId="0479B320" w14:textId="4F1CCC69" w:rsidR="4F7DA5A4" w:rsidRPr="00E204F6" w:rsidRDefault="4F7F450D" w:rsidP="76C0B922">
      <w:pPr>
        <w:spacing w:after="0"/>
        <w:rPr>
          <w:rFonts w:ascii="Times New Roman" w:eastAsia="Times New Roman" w:hAnsi="Times New Roman" w:cs="Times New Roman"/>
          <w:i/>
          <w:iCs/>
          <w:sz w:val="24"/>
          <w:szCs w:val="24"/>
        </w:rPr>
      </w:pPr>
      <w:r w:rsidRPr="00E204F6">
        <w:rPr>
          <w:rFonts w:ascii="Times New Roman" w:eastAsia="Times New Roman" w:hAnsi="Times New Roman" w:cs="Times New Roman"/>
          <w:i/>
          <w:iCs/>
          <w:color w:val="242424"/>
          <w:sz w:val="24"/>
          <w:szCs w:val="24"/>
        </w:rPr>
        <w:t xml:space="preserve">Assessment of parametric curves for </w:t>
      </w:r>
      <w:r w:rsidR="342EB986" w:rsidRPr="00E204F6">
        <w:rPr>
          <w:rFonts w:ascii="Times New Roman" w:eastAsia="Times New Roman" w:hAnsi="Times New Roman" w:cs="Times New Roman"/>
          <w:i/>
          <w:iCs/>
          <w:color w:val="242424"/>
          <w:sz w:val="24"/>
          <w:szCs w:val="24"/>
        </w:rPr>
        <w:t>OS</w:t>
      </w:r>
    </w:p>
    <w:p w14:paraId="0723CE00" w14:textId="0D785069" w:rsidR="7FF94EF3" w:rsidRPr="00E204F6" w:rsidRDefault="2B15AF3B" w:rsidP="2D08A563">
      <w:pPr>
        <w:spacing w:after="0"/>
        <w:rPr>
          <w:rFonts w:ascii="Times New Roman" w:eastAsia="Times New Roman" w:hAnsi="Times New Roman" w:cs="Times New Roman"/>
          <w:i/>
          <w:iCs/>
          <w:sz w:val="24"/>
          <w:szCs w:val="24"/>
        </w:rPr>
      </w:pPr>
      <w:r w:rsidRPr="2D08A563">
        <w:rPr>
          <w:rFonts w:ascii="Times New Roman" w:eastAsia="Times New Roman" w:hAnsi="Times New Roman" w:cs="Times New Roman"/>
          <w:sz w:val="24"/>
          <w:szCs w:val="24"/>
        </w:rPr>
        <w:t xml:space="preserve">First, the parametric curves for </w:t>
      </w:r>
      <w:r w:rsidR="54056EB4" w:rsidRPr="2D08A563">
        <w:rPr>
          <w:rFonts w:ascii="Times New Roman" w:eastAsia="Times New Roman" w:hAnsi="Times New Roman" w:cs="Times New Roman"/>
          <w:sz w:val="24"/>
          <w:szCs w:val="24"/>
        </w:rPr>
        <w:t>OS</w:t>
      </w:r>
      <w:r w:rsidRPr="2D08A563">
        <w:rPr>
          <w:rFonts w:ascii="Times New Roman" w:eastAsia="Times New Roman" w:hAnsi="Times New Roman" w:cs="Times New Roman"/>
          <w:sz w:val="24"/>
          <w:szCs w:val="24"/>
        </w:rPr>
        <w:t xml:space="preserve"> were analysed. For </w:t>
      </w:r>
      <w:r w:rsidR="77EA56D4" w:rsidRPr="2D08A563">
        <w:rPr>
          <w:rFonts w:ascii="Times New Roman" w:eastAsia="Times New Roman" w:hAnsi="Times New Roman" w:cs="Times New Roman"/>
          <w:sz w:val="24"/>
          <w:szCs w:val="24"/>
        </w:rPr>
        <w:t>Cabazitaxel</w:t>
      </w:r>
      <w:r w:rsidRPr="2D08A563">
        <w:rPr>
          <w:rFonts w:ascii="Times New Roman" w:eastAsia="Times New Roman" w:hAnsi="Times New Roman" w:cs="Times New Roman"/>
          <w:sz w:val="24"/>
          <w:szCs w:val="24"/>
        </w:rPr>
        <w:t xml:space="preserve">, the AIC-data showed that </w:t>
      </w:r>
      <w:r w:rsidR="1B8D0CC1" w:rsidRPr="2D08A563">
        <w:rPr>
          <w:rFonts w:ascii="Times New Roman" w:eastAsia="Times New Roman" w:hAnsi="Times New Roman" w:cs="Times New Roman"/>
          <w:sz w:val="24"/>
          <w:szCs w:val="24"/>
        </w:rPr>
        <w:t>the</w:t>
      </w:r>
      <w:r w:rsidRPr="2D08A563">
        <w:rPr>
          <w:rFonts w:ascii="Times New Roman" w:eastAsia="Times New Roman" w:hAnsi="Times New Roman" w:cs="Times New Roman"/>
          <w:sz w:val="24"/>
          <w:szCs w:val="24"/>
        </w:rPr>
        <w:t xml:space="preserve"> loglogistic</w:t>
      </w:r>
      <w:r w:rsidR="23C62908" w:rsidRPr="2D08A563">
        <w:rPr>
          <w:rFonts w:ascii="Times New Roman" w:eastAsia="Times New Roman" w:hAnsi="Times New Roman" w:cs="Times New Roman"/>
          <w:sz w:val="24"/>
          <w:szCs w:val="24"/>
        </w:rPr>
        <w:t xml:space="preserve"> (</w:t>
      </w:r>
      <w:r w:rsidR="23C62908" w:rsidRPr="2D08A563">
        <w:rPr>
          <w:rFonts w:ascii="Times New Roman" w:eastAsia="Times New Roman" w:hAnsi="Times New Roman" w:cs="Times New Roman"/>
          <w:i/>
          <w:iCs/>
          <w:sz w:val="24"/>
          <w:szCs w:val="24"/>
        </w:rPr>
        <w:t>AIC: 1938.93</w:t>
      </w:r>
      <w:r w:rsidR="23C62908" w:rsidRPr="2D08A563">
        <w:rPr>
          <w:rFonts w:ascii="Times New Roman" w:eastAsia="Times New Roman" w:hAnsi="Times New Roman" w:cs="Times New Roman"/>
          <w:sz w:val="24"/>
          <w:szCs w:val="24"/>
        </w:rPr>
        <w:t>)</w:t>
      </w:r>
      <w:r w:rsidRPr="2D08A563">
        <w:rPr>
          <w:rFonts w:ascii="Times New Roman" w:eastAsia="Times New Roman" w:hAnsi="Times New Roman" w:cs="Times New Roman"/>
          <w:sz w:val="24"/>
          <w:szCs w:val="24"/>
        </w:rPr>
        <w:t xml:space="preserve"> and Weibull </w:t>
      </w:r>
      <w:r w:rsidR="57962075" w:rsidRPr="2D08A563">
        <w:rPr>
          <w:rFonts w:ascii="Times New Roman" w:eastAsia="Times New Roman" w:hAnsi="Times New Roman" w:cs="Times New Roman"/>
          <w:sz w:val="24"/>
          <w:szCs w:val="24"/>
        </w:rPr>
        <w:t>(</w:t>
      </w:r>
      <w:r w:rsidR="57962075" w:rsidRPr="2D08A563">
        <w:rPr>
          <w:rFonts w:ascii="Times New Roman" w:eastAsia="Times New Roman" w:hAnsi="Times New Roman" w:cs="Times New Roman"/>
          <w:i/>
          <w:iCs/>
          <w:sz w:val="24"/>
          <w:szCs w:val="24"/>
        </w:rPr>
        <w:t>AIC: 1939.54</w:t>
      </w:r>
      <w:r w:rsidR="57962075" w:rsidRPr="2D08A563">
        <w:rPr>
          <w:rFonts w:ascii="Times New Roman" w:eastAsia="Times New Roman" w:hAnsi="Times New Roman" w:cs="Times New Roman"/>
          <w:sz w:val="24"/>
          <w:szCs w:val="24"/>
        </w:rPr>
        <w:t xml:space="preserve">) </w:t>
      </w:r>
      <w:r w:rsidRPr="2D08A563">
        <w:rPr>
          <w:rFonts w:ascii="Times New Roman" w:eastAsia="Times New Roman" w:hAnsi="Times New Roman" w:cs="Times New Roman"/>
          <w:sz w:val="24"/>
          <w:szCs w:val="24"/>
        </w:rPr>
        <w:t xml:space="preserve">distribution both fitted the </w:t>
      </w:r>
      <w:r w:rsidR="7B39E3EE" w:rsidRPr="2D08A563">
        <w:rPr>
          <w:rFonts w:ascii="Times New Roman" w:eastAsia="Times New Roman" w:hAnsi="Times New Roman" w:cs="Times New Roman"/>
          <w:sz w:val="24"/>
          <w:szCs w:val="24"/>
        </w:rPr>
        <w:t>observed KM curves</w:t>
      </w:r>
      <w:r w:rsidR="4D604A95" w:rsidRPr="2D08A563">
        <w:rPr>
          <w:rFonts w:ascii="Times New Roman" w:eastAsia="Times New Roman" w:hAnsi="Times New Roman" w:cs="Times New Roman"/>
          <w:sz w:val="24"/>
          <w:szCs w:val="24"/>
        </w:rPr>
        <w:t xml:space="preserve"> the best</w:t>
      </w:r>
      <w:r w:rsidRPr="2D08A563">
        <w:rPr>
          <w:rFonts w:ascii="Times New Roman" w:eastAsia="Times New Roman" w:hAnsi="Times New Roman" w:cs="Times New Roman"/>
          <w:sz w:val="24"/>
          <w:szCs w:val="24"/>
        </w:rPr>
        <w:t xml:space="preserve">. However, </w:t>
      </w:r>
      <w:r w:rsidR="29A568D1" w:rsidRPr="2D08A563">
        <w:rPr>
          <w:rFonts w:ascii="Times New Roman" w:eastAsia="Times New Roman" w:hAnsi="Times New Roman" w:cs="Times New Roman"/>
          <w:sz w:val="24"/>
          <w:szCs w:val="24"/>
        </w:rPr>
        <w:t xml:space="preserve">the </w:t>
      </w:r>
      <w:r w:rsidR="68D2904A" w:rsidRPr="2D08A563">
        <w:rPr>
          <w:rFonts w:ascii="Times New Roman" w:eastAsia="Times New Roman" w:hAnsi="Times New Roman" w:cs="Times New Roman"/>
          <w:sz w:val="24"/>
          <w:szCs w:val="24"/>
        </w:rPr>
        <w:t xml:space="preserve">fitted survival curve </w:t>
      </w:r>
      <w:r w:rsidR="29A568D1" w:rsidRPr="2D08A563">
        <w:rPr>
          <w:rFonts w:ascii="Times New Roman" w:eastAsia="Times New Roman" w:hAnsi="Times New Roman" w:cs="Times New Roman"/>
          <w:sz w:val="24"/>
          <w:szCs w:val="24"/>
        </w:rPr>
        <w:t xml:space="preserve">(see </w:t>
      </w:r>
      <w:r w:rsidR="4A252B18" w:rsidRPr="2D08A563">
        <w:rPr>
          <w:rFonts w:ascii="Times New Roman" w:eastAsia="Times New Roman" w:hAnsi="Times New Roman" w:cs="Times New Roman"/>
          <w:sz w:val="24"/>
          <w:szCs w:val="24"/>
        </w:rPr>
        <w:t>A</w:t>
      </w:r>
      <w:r w:rsidR="29A568D1" w:rsidRPr="2D08A563">
        <w:rPr>
          <w:rFonts w:ascii="Times New Roman" w:eastAsia="Times New Roman" w:hAnsi="Times New Roman" w:cs="Times New Roman"/>
          <w:sz w:val="24"/>
          <w:szCs w:val="24"/>
        </w:rPr>
        <w:t xml:space="preserve">ppendix </w:t>
      </w:r>
      <w:r w:rsidR="525A893E" w:rsidRPr="2D08A563">
        <w:rPr>
          <w:rFonts w:ascii="Times New Roman" w:eastAsia="Times New Roman" w:hAnsi="Times New Roman" w:cs="Times New Roman"/>
          <w:sz w:val="24"/>
          <w:szCs w:val="24"/>
        </w:rPr>
        <w:t xml:space="preserve">A, </w:t>
      </w:r>
      <w:r w:rsidR="2E90EA3A" w:rsidRPr="2D08A563">
        <w:rPr>
          <w:rFonts w:ascii="Times New Roman" w:eastAsia="Times New Roman" w:hAnsi="Times New Roman" w:cs="Times New Roman"/>
          <w:sz w:val="24"/>
          <w:szCs w:val="24"/>
        </w:rPr>
        <w:t>Figure</w:t>
      </w:r>
      <w:r w:rsidR="525A893E" w:rsidRPr="2D08A563">
        <w:rPr>
          <w:rFonts w:ascii="Times New Roman" w:eastAsia="Times New Roman" w:hAnsi="Times New Roman" w:cs="Times New Roman"/>
          <w:sz w:val="24"/>
          <w:szCs w:val="24"/>
        </w:rPr>
        <w:t xml:space="preserve"> </w:t>
      </w:r>
      <w:r w:rsidR="73EEE4F2" w:rsidRPr="2D08A563">
        <w:rPr>
          <w:rFonts w:ascii="Times New Roman" w:eastAsia="Times New Roman" w:hAnsi="Times New Roman" w:cs="Times New Roman"/>
          <w:sz w:val="24"/>
          <w:szCs w:val="24"/>
        </w:rPr>
        <w:t>A</w:t>
      </w:r>
      <w:r w:rsidR="525A893E" w:rsidRPr="2D08A563">
        <w:rPr>
          <w:rFonts w:ascii="Times New Roman" w:eastAsia="Times New Roman" w:hAnsi="Times New Roman" w:cs="Times New Roman"/>
          <w:sz w:val="24"/>
          <w:szCs w:val="24"/>
        </w:rPr>
        <w:t>1</w:t>
      </w:r>
      <w:r w:rsidR="29A568D1" w:rsidRPr="2D08A563">
        <w:rPr>
          <w:rFonts w:ascii="Times New Roman" w:eastAsia="Times New Roman" w:hAnsi="Times New Roman" w:cs="Times New Roman"/>
          <w:sz w:val="24"/>
          <w:szCs w:val="24"/>
        </w:rPr>
        <w:t>)</w:t>
      </w:r>
      <w:r w:rsidRPr="2D08A563">
        <w:rPr>
          <w:rFonts w:ascii="Times New Roman" w:eastAsia="Times New Roman" w:hAnsi="Times New Roman" w:cs="Times New Roman"/>
          <w:b/>
          <w:bCs/>
          <w:sz w:val="24"/>
          <w:szCs w:val="24"/>
        </w:rPr>
        <w:t xml:space="preserve"> </w:t>
      </w:r>
      <w:r w:rsidRPr="2D08A563">
        <w:rPr>
          <w:rFonts w:ascii="Times New Roman" w:eastAsia="Times New Roman" w:hAnsi="Times New Roman" w:cs="Times New Roman"/>
          <w:sz w:val="24"/>
          <w:szCs w:val="24"/>
        </w:rPr>
        <w:t xml:space="preserve">shows that the Weibull distribution </w:t>
      </w:r>
      <w:r w:rsidR="1DF54679" w:rsidRPr="2D08A563">
        <w:rPr>
          <w:rFonts w:ascii="Times New Roman" w:eastAsia="Times New Roman" w:hAnsi="Times New Roman" w:cs="Times New Roman"/>
          <w:sz w:val="24"/>
          <w:szCs w:val="24"/>
        </w:rPr>
        <w:t xml:space="preserve">overestimates survival </w:t>
      </w:r>
      <w:r w:rsidRPr="2D08A563">
        <w:rPr>
          <w:rFonts w:ascii="Times New Roman" w:eastAsia="Times New Roman" w:hAnsi="Times New Roman" w:cs="Times New Roman"/>
          <w:sz w:val="24"/>
          <w:szCs w:val="24"/>
        </w:rPr>
        <w:t xml:space="preserve">from t=15 and </w:t>
      </w:r>
      <w:r w:rsidR="04BFEA04" w:rsidRPr="2D08A563">
        <w:rPr>
          <w:rFonts w:ascii="Times New Roman" w:eastAsia="Times New Roman" w:hAnsi="Times New Roman" w:cs="Times New Roman"/>
          <w:sz w:val="24"/>
          <w:szCs w:val="24"/>
        </w:rPr>
        <w:t>underestimates it f</w:t>
      </w:r>
      <w:r w:rsidRPr="2D08A563">
        <w:rPr>
          <w:rFonts w:ascii="Times New Roman" w:eastAsia="Times New Roman" w:hAnsi="Times New Roman" w:cs="Times New Roman"/>
          <w:sz w:val="24"/>
          <w:szCs w:val="24"/>
        </w:rPr>
        <w:t xml:space="preserve">rom t=25. The loglogistic distribution follows the </w:t>
      </w:r>
      <w:r w:rsidR="1537A3F5" w:rsidRPr="2D08A563">
        <w:rPr>
          <w:rFonts w:ascii="Times New Roman" w:eastAsia="Times New Roman" w:hAnsi="Times New Roman" w:cs="Times New Roman"/>
          <w:sz w:val="24"/>
          <w:szCs w:val="24"/>
        </w:rPr>
        <w:t>KM</w:t>
      </w:r>
      <w:r w:rsidRPr="2D08A563">
        <w:rPr>
          <w:rFonts w:ascii="Times New Roman" w:eastAsia="Times New Roman" w:hAnsi="Times New Roman" w:cs="Times New Roman"/>
          <w:sz w:val="24"/>
          <w:szCs w:val="24"/>
        </w:rPr>
        <w:t xml:space="preserve"> curve more </w:t>
      </w:r>
      <w:r w:rsidR="06EE7522" w:rsidRPr="2D08A563">
        <w:rPr>
          <w:rFonts w:ascii="Times New Roman" w:eastAsia="Times New Roman" w:hAnsi="Times New Roman" w:cs="Times New Roman"/>
          <w:sz w:val="24"/>
          <w:szCs w:val="24"/>
        </w:rPr>
        <w:t>closely</w:t>
      </w:r>
      <w:r w:rsidRPr="2D08A563">
        <w:rPr>
          <w:rFonts w:ascii="Times New Roman" w:eastAsia="Times New Roman" w:hAnsi="Times New Roman" w:cs="Times New Roman"/>
          <w:sz w:val="24"/>
          <w:szCs w:val="24"/>
        </w:rPr>
        <w:t>.</w:t>
      </w:r>
    </w:p>
    <w:p w14:paraId="2B828996" w14:textId="0384F6F7" w:rsidR="43EE1B5E" w:rsidRPr="00E204F6" w:rsidRDefault="43EE1B5E" w:rsidP="3AC76631">
      <w:pPr>
        <w:rPr>
          <w:rFonts w:ascii="Times New Roman" w:eastAsia="Times New Roman" w:hAnsi="Times New Roman" w:cs="Times New Roman"/>
          <w:sz w:val="24"/>
          <w:szCs w:val="24"/>
        </w:rPr>
      </w:pPr>
    </w:p>
    <w:p w14:paraId="3C9F8CCE" w14:textId="5911B784" w:rsidR="5D95CB79" w:rsidRPr="00E204F6" w:rsidRDefault="5D95CB79" w:rsidP="76C0B922">
      <w:pPr>
        <w:spacing w:after="0"/>
        <w:rPr>
          <w:rFonts w:ascii="Times New Roman" w:eastAsia="Times New Roman" w:hAnsi="Times New Roman" w:cs="Times New Roman"/>
          <w:sz w:val="24"/>
          <w:szCs w:val="24"/>
        </w:rPr>
      </w:pPr>
      <w:r w:rsidRPr="2D08A563">
        <w:rPr>
          <w:rFonts w:ascii="Times New Roman" w:eastAsia="Times New Roman" w:hAnsi="Times New Roman" w:cs="Times New Roman"/>
          <w:sz w:val="24"/>
          <w:szCs w:val="24"/>
        </w:rPr>
        <w:lastRenderedPageBreak/>
        <w:t xml:space="preserve">For </w:t>
      </w:r>
      <w:r w:rsidR="2E1C6553" w:rsidRPr="2D08A563">
        <w:rPr>
          <w:rFonts w:ascii="Times New Roman" w:eastAsia="Times New Roman" w:hAnsi="Times New Roman" w:cs="Times New Roman"/>
          <w:sz w:val="24"/>
          <w:szCs w:val="24"/>
        </w:rPr>
        <w:t>Mitoxantrone</w:t>
      </w:r>
      <w:r w:rsidRPr="2D08A563">
        <w:rPr>
          <w:rFonts w:ascii="Times New Roman" w:eastAsia="Times New Roman" w:hAnsi="Times New Roman" w:cs="Times New Roman"/>
          <w:sz w:val="24"/>
          <w:szCs w:val="24"/>
        </w:rPr>
        <w:t>, th</w:t>
      </w:r>
      <w:r w:rsidR="2B15AF3B" w:rsidRPr="2D08A563">
        <w:rPr>
          <w:rFonts w:ascii="Times New Roman" w:eastAsia="Times New Roman" w:hAnsi="Times New Roman" w:cs="Times New Roman"/>
          <w:sz w:val="24"/>
          <w:szCs w:val="24"/>
        </w:rPr>
        <w:t xml:space="preserve">e AIC-data showed that the Weibull-distribution had a slightly better fit. </w:t>
      </w:r>
      <w:r w:rsidR="561F21DF" w:rsidRPr="2D08A563">
        <w:rPr>
          <w:rFonts w:ascii="Times New Roman" w:eastAsia="Times New Roman" w:hAnsi="Times New Roman" w:cs="Times New Roman"/>
          <w:sz w:val="24"/>
          <w:szCs w:val="24"/>
        </w:rPr>
        <w:t>However, the fitted survival curve</w:t>
      </w:r>
      <w:r w:rsidR="5E2C6E00" w:rsidRPr="2D08A563">
        <w:rPr>
          <w:rFonts w:ascii="Times New Roman" w:eastAsia="Times New Roman" w:hAnsi="Times New Roman" w:cs="Times New Roman"/>
          <w:sz w:val="24"/>
          <w:szCs w:val="24"/>
        </w:rPr>
        <w:t xml:space="preserve"> (see</w:t>
      </w:r>
      <w:r w:rsidR="00D5FF90" w:rsidRPr="2D08A563">
        <w:rPr>
          <w:rFonts w:ascii="Times New Roman" w:eastAsia="Times New Roman" w:hAnsi="Times New Roman" w:cs="Times New Roman"/>
          <w:sz w:val="24"/>
          <w:szCs w:val="24"/>
        </w:rPr>
        <w:t xml:space="preserve"> A</w:t>
      </w:r>
      <w:r w:rsidR="5E2C6E00" w:rsidRPr="2D08A563">
        <w:rPr>
          <w:rFonts w:ascii="Times New Roman" w:eastAsia="Times New Roman" w:hAnsi="Times New Roman" w:cs="Times New Roman"/>
          <w:sz w:val="24"/>
          <w:szCs w:val="24"/>
        </w:rPr>
        <w:t xml:space="preserve">ppendix </w:t>
      </w:r>
      <w:r w:rsidR="6AD041CD" w:rsidRPr="2D08A563">
        <w:rPr>
          <w:rFonts w:ascii="Times New Roman" w:eastAsia="Times New Roman" w:hAnsi="Times New Roman" w:cs="Times New Roman"/>
          <w:sz w:val="24"/>
          <w:szCs w:val="24"/>
        </w:rPr>
        <w:t xml:space="preserve">A, </w:t>
      </w:r>
      <w:r w:rsidR="2E90EA3A" w:rsidRPr="2D08A563">
        <w:rPr>
          <w:rFonts w:ascii="Times New Roman" w:eastAsia="Times New Roman" w:hAnsi="Times New Roman" w:cs="Times New Roman"/>
          <w:sz w:val="24"/>
          <w:szCs w:val="24"/>
        </w:rPr>
        <w:t>Figure</w:t>
      </w:r>
      <w:r w:rsidR="6AD041CD" w:rsidRPr="2D08A563">
        <w:rPr>
          <w:rFonts w:ascii="Times New Roman" w:eastAsia="Times New Roman" w:hAnsi="Times New Roman" w:cs="Times New Roman"/>
          <w:sz w:val="24"/>
          <w:szCs w:val="24"/>
        </w:rPr>
        <w:t xml:space="preserve"> </w:t>
      </w:r>
      <w:r w:rsidR="2112E650" w:rsidRPr="2D08A563">
        <w:rPr>
          <w:rFonts w:ascii="Times New Roman" w:eastAsia="Times New Roman" w:hAnsi="Times New Roman" w:cs="Times New Roman"/>
          <w:sz w:val="24"/>
          <w:szCs w:val="24"/>
        </w:rPr>
        <w:t>A</w:t>
      </w:r>
      <w:r w:rsidR="6AD041CD" w:rsidRPr="2D08A563">
        <w:rPr>
          <w:rFonts w:ascii="Times New Roman" w:eastAsia="Times New Roman" w:hAnsi="Times New Roman" w:cs="Times New Roman"/>
          <w:sz w:val="24"/>
          <w:szCs w:val="24"/>
        </w:rPr>
        <w:t>2</w:t>
      </w:r>
      <w:r w:rsidR="5E2C6E00" w:rsidRPr="2D08A563">
        <w:rPr>
          <w:rFonts w:ascii="Times New Roman" w:eastAsia="Times New Roman" w:hAnsi="Times New Roman" w:cs="Times New Roman"/>
          <w:sz w:val="24"/>
          <w:szCs w:val="24"/>
        </w:rPr>
        <w:t>)</w:t>
      </w:r>
      <w:r w:rsidR="2B15AF3B" w:rsidRPr="2D08A563">
        <w:rPr>
          <w:rFonts w:ascii="Times New Roman" w:eastAsia="Times New Roman" w:hAnsi="Times New Roman" w:cs="Times New Roman"/>
          <w:b/>
          <w:bCs/>
          <w:sz w:val="24"/>
          <w:szCs w:val="24"/>
        </w:rPr>
        <w:t xml:space="preserve"> </w:t>
      </w:r>
      <w:r w:rsidR="2B15AF3B" w:rsidRPr="2D08A563">
        <w:rPr>
          <w:rFonts w:ascii="Times New Roman" w:eastAsia="Times New Roman" w:hAnsi="Times New Roman" w:cs="Times New Roman"/>
          <w:sz w:val="24"/>
          <w:szCs w:val="24"/>
        </w:rPr>
        <w:t xml:space="preserve">shows that the </w:t>
      </w:r>
      <w:r w:rsidR="435DEF8F" w:rsidRPr="2D08A563">
        <w:rPr>
          <w:rFonts w:ascii="Times New Roman" w:eastAsia="Times New Roman" w:hAnsi="Times New Roman" w:cs="Times New Roman"/>
          <w:sz w:val="24"/>
          <w:szCs w:val="24"/>
        </w:rPr>
        <w:t>Weibull OS curve decreases very rapidly</w:t>
      </w:r>
      <w:r w:rsidR="2B15AF3B" w:rsidRPr="2D08A563">
        <w:rPr>
          <w:rFonts w:ascii="Times New Roman" w:eastAsia="Times New Roman" w:hAnsi="Times New Roman" w:cs="Times New Roman"/>
          <w:sz w:val="24"/>
          <w:szCs w:val="24"/>
        </w:rPr>
        <w:t xml:space="preserve"> from t=20</w:t>
      </w:r>
      <w:r w:rsidR="6F460F15" w:rsidRPr="2D08A563">
        <w:rPr>
          <w:rFonts w:ascii="Times New Roman" w:eastAsia="Times New Roman" w:hAnsi="Times New Roman" w:cs="Times New Roman"/>
          <w:sz w:val="24"/>
          <w:szCs w:val="24"/>
        </w:rPr>
        <w:t>, approaching zero</w:t>
      </w:r>
      <w:r w:rsidR="2B15AF3B" w:rsidRPr="2D08A563">
        <w:rPr>
          <w:rFonts w:ascii="Times New Roman" w:eastAsia="Times New Roman" w:hAnsi="Times New Roman" w:cs="Times New Roman"/>
          <w:sz w:val="24"/>
          <w:szCs w:val="24"/>
        </w:rPr>
        <w:t>.</w:t>
      </w:r>
      <w:r w:rsidR="200B7F6B" w:rsidRPr="2D08A563">
        <w:rPr>
          <w:rFonts w:ascii="Times New Roman" w:eastAsia="Times New Roman" w:hAnsi="Times New Roman" w:cs="Times New Roman"/>
          <w:sz w:val="24"/>
          <w:szCs w:val="24"/>
        </w:rPr>
        <w:t xml:space="preserve"> At cycle 48, OS was only 4.3% for the Weibull distribution, compared to 10% for the lognormal and 9.7% for the loglogistic. This rapid decline was considered clinically implausible, as a small proportion of mCRPC patients were expected to survive beyond this point.</w:t>
      </w:r>
    </w:p>
    <w:p w14:paraId="52887052" w14:textId="10EEE218" w:rsidR="6FB1C763" w:rsidRPr="00E204F6" w:rsidRDefault="6FB1C763" w:rsidP="76C0B922">
      <w:pPr>
        <w:spacing w:after="0"/>
        <w:rPr>
          <w:rFonts w:ascii="Times New Roman" w:eastAsia="Times New Roman" w:hAnsi="Times New Roman" w:cs="Times New Roman"/>
          <w:sz w:val="24"/>
          <w:szCs w:val="24"/>
        </w:rPr>
      </w:pPr>
    </w:p>
    <w:p w14:paraId="3EA563E1" w14:textId="19A40077" w:rsidR="200B7F6B" w:rsidRPr="00E204F6" w:rsidRDefault="200B7F6B" w:rsidP="76C0B922">
      <w:pPr>
        <w:spacing w:after="0"/>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Based on both statistical fit and clinical plausibility, the loglogistic distribution was selected to model OS for both treatment arms.</w:t>
      </w:r>
    </w:p>
    <w:p w14:paraId="76151907" w14:textId="6AA613FB" w:rsidR="76C0B922" w:rsidRPr="00E204F6" w:rsidRDefault="76C0B922" w:rsidP="76C0B922">
      <w:pPr>
        <w:spacing w:after="0"/>
        <w:rPr>
          <w:rFonts w:ascii="Times New Roman" w:eastAsia="Times New Roman" w:hAnsi="Times New Roman" w:cs="Times New Roman"/>
          <w:sz w:val="24"/>
          <w:szCs w:val="24"/>
        </w:rPr>
      </w:pPr>
    </w:p>
    <w:p w14:paraId="1FBE6E05" w14:textId="0990D746" w:rsidR="7FF94EF3" w:rsidRPr="00E204F6" w:rsidRDefault="7BC3705C" w:rsidP="3AC76631">
      <w:pPr>
        <w:spacing w:after="0"/>
        <w:rPr>
          <w:rFonts w:ascii="Times New Roman" w:eastAsia="Times New Roman" w:hAnsi="Times New Roman" w:cs="Times New Roman"/>
          <w:i/>
          <w:iCs/>
          <w:sz w:val="24"/>
          <w:szCs w:val="24"/>
        </w:rPr>
      </w:pPr>
      <w:r w:rsidRPr="00E204F6">
        <w:rPr>
          <w:rFonts w:ascii="Times New Roman" w:eastAsia="Times New Roman" w:hAnsi="Times New Roman" w:cs="Times New Roman"/>
          <w:i/>
          <w:iCs/>
          <w:color w:val="242424"/>
          <w:sz w:val="24"/>
          <w:szCs w:val="24"/>
        </w:rPr>
        <w:t xml:space="preserve">Assessment of parametric curves for </w:t>
      </w:r>
      <w:r w:rsidR="37233E12" w:rsidRPr="00E204F6">
        <w:rPr>
          <w:rFonts w:ascii="Times New Roman" w:eastAsia="Times New Roman" w:hAnsi="Times New Roman" w:cs="Times New Roman"/>
          <w:i/>
          <w:iCs/>
          <w:sz w:val="24"/>
          <w:szCs w:val="24"/>
        </w:rPr>
        <w:t>progression-free survival</w:t>
      </w:r>
    </w:p>
    <w:p w14:paraId="6AB8F93C" w14:textId="3144CF67" w:rsidR="43EE1B5E" w:rsidRPr="00E204F6" w:rsidRDefault="2B15AF3B" w:rsidP="76C0B922">
      <w:pPr>
        <w:spacing w:after="0"/>
        <w:rPr>
          <w:rFonts w:ascii="Times New Roman" w:eastAsia="Times New Roman" w:hAnsi="Times New Roman" w:cs="Times New Roman"/>
          <w:sz w:val="24"/>
          <w:szCs w:val="24"/>
        </w:rPr>
      </w:pPr>
      <w:r w:rsidRPr="2D08A563">
        <w:rPr>
          <w:rFonts w:ascii="Times New Roman" w:eastAsia="Times New Roman" w:hAnsi="Times New Roman" w:cs="Times New Roman"/>
          <w:sz w:val="24"/>
          <w:szCs w:val="24"/>
        </w:rPr>
        <w:t xml:space="preserve">For </w:t>
      </w:r>
      <w:r w:rsidR="77EA56D4" w:rsidRPr="2D08A563">
        <w:rPr>
          <w:rFonts w:ascii="Times New Roman" w:eastAsia="Times New Roman" w:hAnsi="Times New Roman" w:cs="Times New Roman"/>
          <w:sz w:val="24"/>
          <w:szCs w:val="24"/>
        </w:rPr>
        <w:t>Cabazitaxel</w:t>
      </w:r>
      <w:r w:rsidRPr="2D08A563">
        <w:rPr>
          <w:rFonts w:ascii="Times New Roman" w:eastAsia="Times New Roman" w:hAnsi="Times New Roman" w:cs="Times New Roman"/>
          <w:sz w:val="24"/>
          <w:szCs w:val="24"/>
        </w:rPr>
        <w:t xml:space="preserve">, the AIC-data showed the </w:t>
      </w:r>
      <w:r w:rsidR="3A048CAA" w:rsidRPr="2D08A563">
        <w:rPr>
          <w:rFonts w:ascii="Times New Roman" w:eastAsia="Times New Roman" w:hAnsi="Times New Roman" w:cs="Times New Roman"/>
          <w:sz w:val="24"/>
          <w:szCs w:val="24"/>
        </w:rPr>
        <w:t>best</w:t>
      </w:r>
      <w:r w:rsidRPr="2D08A563">
        <w:rPr>
          <w:rFonts w:ascii="Times New Roman" w:eastAsia="Times New Roman" w:hAnsi="Times New Roman" w:cs="Times New Roman"/>
          <w:sz w:val="24"/>
          <w:szCs w:val="24"/>
        </w:rPr>
        <w:t xml:space="preserve"> fit </w:t>
      </w:r>
      <w:r w:rsidR="1560F279" w:rsidRPr="2D08A563">
        <w:rPr>
          <w:rFonts w:ascii="Times New Roman" w:eastAsia="Times New Roman" w:hAnsi="Times New Roman" w:cs="Times New Roman"/>
          <w:sz w:val="24"/>
          <w:szCs w:val="24"/>
        </w:rPr>
        <w:t>for the exponential distribution</w:t>
      </w:r>
      <w:r w:rsidRPr="2D08A563">
        <w:rPr>
          <w:rFonts w:ascii="Times New Roman" w:eastAsia="Times New Roman" w:hAnsi="Times New Roman" w:cs="Times New Roman"/>
          <w:sz w:val="24"/>
          <w:szCs w:val="24"/>
        </w:rPr>
        <w:t xml:space="preserve">. However, </w:t>
      </w:r>
      <w:r w:rsidR="0B7CC856" w:rsidRPr="2D08A563">
        <w:rPr>
          <w:rFonts w:ascii="Times New Roman" w:eastAsia="Times New Roman" w:hAnsi="Times New Roman" w:cs="Times New Roman"/>
          <w:sz w:val="24"/>
          <w:szCs w:val="24"/>
        </w:rPr>
        <w:t>the</w:t>
      </w:r>
      <w:r w:rsidR="4B1ABA8F" w:rsidRPr="2D08A563">
        <w:rPr>
          <w:rFonts w:ascii="Times New Roman" w:eastAsia="Times New Roman" w:hAnsi="Times New Roman" w:cs="Times New Roman"/>
          <w:sz w:val="24"/>
          <w:szCs w:val="24"/>
        </w:rPr>
        <w:t xml:space="preserve"> fitted</w:t>
      </w:r>
      <w:r w:rsidR="0B7CC856" w:rsidRPr="2D08A563">
        <w:rPr>
          <w:rFonts w:ascii="Times New Roman" w:eastAsia="Times New Roman" w:hAnsi="Times New Roman" w:cs="Times New Roman"/>
          <w:sz w:val="24"/>
          <w:szCs w:val="24"/>
        </w:rPr>
        <w:t xml:space="preserve"> survival curve (see </w:t>
      </w:r>
      <w:r w:rsidR="43131313" w:rsidRPr="2D08A563">
        <w:rPr>
          <w:rFonts w:ascii="Times New Roman" w:eastAsia="Times New Roman" w:hAnsi="Times New Roman" w:cs="Times New Roman"/>
          <w:sz w:val="24"/>
          <w:szCs w:val="24"/>
        </w:rPr>
        <w:t>A</w:t>
      </w:r>
      <w:r w:rsidR="0B7CC856" w:rsidRPr="2D08A563">
        <w:rPr>
          <w:rFonts w:ascii="Times New Roman" w:eastAsia="Times New Roman" w:hAnsi="Times New Roman" w:cs="Times New Roman"/>
          <w:sz w:val="24"/>
          <w:szCs w:val="24"/>
        </w:rPr>
        <w:t xml:space="preserve">ppendix </w:t>
      </w:r>
      <w:r w:rsidR="64F9126E" w:rsidRPr="2D08A563">
        <w:rPr>
          <w:rFonts w:ascii="Times New Roman" w:eastAsia="Times New Roman" w:hAnsi="Times New Roman" w:cs="Times New Roman"/>
          <w:sz w:val="24"/>
          <w:szCs w:val="24"/>
        </w:rPr>
        <w:t xml:space="preserve">A, </w:t>
      </w:r>
      <w:r w:rsidR="2E90EA3A" w:rsidRPr="2D08A563">
        <w:rPr>
          <w:rFonts w:ascii="Times New Roman" w:eastAsia="Times New Roman" w:hAnsi="Times New Roman" w:cs="Times New Roman"/>
          <w:sz w:val="24"/>
          <w:szCs w:val="24"/>
        </w:rPr>
        <w:t>Figure</w:t>
      </w:r>
      <w:r w:rsidR="64F9126E" w:rsidRPr="2D08A563">
        <w:rPr>
          <w:rFonts w:ascii="Times New Roman" w:eastAsia="Times New Roman" w:hAnsi="Times New Roman" w:cs="Times New Roman"/>
          <w:sz w:val="24"/>
          <w:szCs w:val="24"/>
        </w:rPr>
        <w:t xml:space="preserve"> </w:t>
      </w:r>
      <w:r w:rsidR="3B336715" w:rsidRPr="2D08A563">
        <w:rPr>
          <w:rFonts w:ascii="Times New Roman" w:eastAsia="Times New Roman" w:hAnsi="Times New Roman" w:cs="Times New Roman"/>
          <w:sz w:val="24"/>
          <w:szCs w:val="24"/>
        </w:rPr>
        <w:t>A</w:t>
      </w:r>
      <w:r w:rsidR="64F9126E" w:rsidRPr="2D08A563">
        <w:rPr>
          <w:rFonts w:ascii="Times New Roman" w:eastAsia="Times New Roman" w:hAnsi="Times New Roman" w:cs="Times New Roman"/>
          <w:sz w:val="24"/>
          <w:szCs w:val="24"/>
        </w:rPr>
        <w:t>3</w:t>
      </w:r>
      <w:r w:rsidR="0B7CC856" w:rsidRPr="2D08A563">
        <w:rPr>
          <w:rFonts w:ascii="Times New Roman" w:eastAsia="Times New Roman" w:hAnsi="Times New Roman" w:cs="Times New Roman"/>
          <w:sz w:val="24"/>
          <w:szCs w:val="24"/>
        </w:rPr>
        <w:t>)</w:t>
      </w:r>
      <w:r w:rsidRPr="2D08A563">
        <w:rPr>
          <w:rFonts w:ascii="Times New Roman" w:eastAsia="Times New Roman" w:hAnsi="Times New Roman" w:cs="Times New Roman"/>
          <w:b/>
          <w:bCs/>
          <w:sz w:val="24"/>
          <w:szCs w:val="24"/>
        </w:rPr>
        <w:t xml:space="preserve"> </w:t>
      </w:r>
      <w:r w:rsidRPr="2D08A563">
        <w:rPr>
          <w:rFonts w:ascii="Times New Roman" w:eastAsia="Times New Roman" w:hAnsi="Times New Roman" w:cs="Times New Roman"/>
          <w:sz w:val="24"/>
          <w:szCs w:val="24"/>
        </w:rPr>
        <w:t xml:space="preserve">shows that both the Weibull and exponential distribution closely follow each other. The lognormal and loglogistic distribution overestimate the </w:t>
      </w:r>
      <w:r w:rsidR="12E77CB2" w:rsidRPr="2D08A563">
        <w:rPr>
          <w:rFonts w:ascii="Times New Roman" w:eastAsia="Times New Roman" w:hAnsi="Times New Roman" w:cs="Times New Roman"/>
          <w:sz w:val="24"/>
          <w:szCs w:val="24"/>
        </w:rPr>
        <w:t>KM</w:t>
      </w:r>
      <w:r w:rsidRPr="2D08A563">
        <w:rPr>
          <w:rFonts w:ascii="Times New Roman" w:eastAsia="Times New Roman" w:hAnsi="Times New Roman" w:cs="Times New Roman"/>
          <w:sz w:val="24"/>
          <w:szCs w:val="24"/>
        </w:rPr>
        <w:t xml:space="preserve"> data from t=10, so they were not considered. </w:t>
      </w:r>
      <w:r>
        <w:br/>
      </w:r>
    </w:p>
    <w:p w14:paraId="413EB997" w14:textId="5966B084" w:rsidR="43EE1B5E" w:rsidRPr="00E204F6" w:rsidRDefault="184FE151" w:rsidP="76C0B922">
      <w:pPr>
        <w:spacing w:after="0"/>
        <w:rPr>
          <w:rFonts w:ascii="Times New Roman" w:eastAsia="Times New Roman" w:hAnsi="Times New Roman" w:cs="Times New Roman"/>
          <w:sz w:val="24"/>
          <w:szCs w:val="24"/>
        </w:rPr>
      </w:pPr>
      <w:r w:rsidRPr="2D08A563">
        <w:rPr>
          <w:rFonts w:ascii="Times New Roman" w:eastAsia="Times New Roman" w:hAnsi="Times New Roman" w:cs="Times New Roman"/>
          <w:sz w:val="24"/>
          <w:szCs w:val="24"/>
        </w:rPr>
        <w:t xml:space="preserve">For </w:t>
      </w:r>
      <w:r w:rsidR="2E1C6553" w:rsidRPr="2D08A563">
        <w:rPr>
          <w:rFonts w:ascii="Times New Roman" w:eastAsia="Times New Roman" w:hAnsi="Times New Roman" w:cs="Times New Roman"/>
          <w:sz w:val="24"/>
          <w:szCs w:val="24"/>
        </w:rPr>
        <w:t>Mitoxantrone</w:t>
      </w:r>
      <w:r w:rsidRPr="2D08A563">
        <w:rPr>
          <w:rFonts w:ascii="Times New Roman" w:eastAsia="Times New Roman" w:hAnsi="Times New Roman" w:cs="Times New Roman"/>
          <w:sz w:val="24"/>
          <w:szCs w:val="24"/>
        </w:rPr>
        <w:t xml:space="preserve">, the AIC data showed that the lognormal distribution had the best fit with the KM data. </w:t>
      </w:r>
      <w:r w:rsidR="2B15AF3B" w:rsidRPr="2D08A563">
        <w:rPr>
          <w:rFonts w:ascii="Times New Roman" w:eastAsia="Times New Roman" w:hAnsi="Times New Roman" w:cs="Times New Roman"/>
          <w:sz w:val="24"/>
          <w:szCs w:val="24"/>
        </w:rPr>
        <w:t>Visually,</w:t>
      </w:r>
      <w:r w:rsidR="7E45D785" w:rsidRPr="2D08A563">
        <w:rPr>
          <w:rFonts w:ascii="Times New Roman" w:eastAsia="Times New Roman" w:hAnsi="Times New Roman" w:cs="Times New Roman"/>
          <w:sz w:val="24"/>
          <w:szCs w:val="24"/>
        </w:rPr>
        <w:t xml:space="preserve"> as seen in </w:t>
      </w:r>
      <w:r w:rsidR="28408BEA" w:rsidRPr="2D08A563">
        <w:rPr>
          <w:rFonts w:ascii="Times New Roman" w:eastAsia="Times New Roman" w:hAnsi="Times New Roman" w:cs="Times New Roman"/>
          <w:sz w:val="24"/>
          <w:szCs w:val="24"/>
        </w:rPr>
        <w:t xml:space="preserve">Appendix A, </w:t>
      </w:r>
      <w:r w:rsidR="2E90EA3A" w:rsidRPr="2D08A563">
        <w:rPr>
          <w:rFonts w:ascii="Times New Roman" w:eastAsia="Times New Roman" w:hAnsi="Times New Roman" w:cs="Times New Roman"/>
          <w:sz w:val="24"/>
          <w:szCs w:val="24"/>
        </w:rPr>
        <w:t>Figure</w:t>
      </w:r>
      <w:r w:rsidR="28408BEA" w:rsidRPr="2D08A563">
        <w:rPr>
          <w:rFonts w:ascii="Times New Roman" w:eastAsia="Times New Roman" w:hAnsi="Times New Roman" w:cs="Times New Roman"/>
          <w:sz w:val="24"/>
          <w:szCs w:val="24"/>
        </w:rPr>
        <w:t xml:space="preserve"> </w:t>
      </w:r>
      <w:r w:rsidR="4DB6CE73" w:rsidRPr="2D08A563">
        <w:rPr>
          <w:rFonts w:ascii="Times New Roman" w:eastAsia="Times New Roman" w:hAnsi="Times New Roman" w:cs="Times New Roman"/>
          <w:sz w:val="24"/>
          <w:szCs w:val="24"/>
        </w:rPr>
        <w:t>A</w:t>
      </w:r>
      <w:r w:rsidR="28408BEA" w:rsidRPr="2D08A563">
        <w:rPr>
          <w:rFonts w:ascii="Times New Roman" w:eastAsia="Times New Roman" w:hAnsi="Times New Roman" w:cs="Times New Roman"/>
          <w:sz w:val="24"/>
          <w:szCs w:val="24"/>
        </w:rPr>
        <w:t>4,</w:t>
      </w:r>
      <w:r w:rsidR="2B15AF3B" w:rsidRPr="2D08A563">
        <w:rPr>
          <w:rFonts w:ascii="Times New Roman" w:eastAsia="Times New Roman" w:hAnsi="Times New Roman" w:cs="Times New Roman"/>
          <w:sz w:val="24"/>
          <w:szCs w:val="24"/>
        </w:rPr>
        <w:t xml:space="preserve"> almost no curve follows the extracted data perfectly. </w:t>
      </w:r>
    </w:p>
    <w:p w14:paraId="04CCE7E0" w14:textId="4E82E30F" w:rsidR="43EE1B5E" w:rsidRPr="00E204F6" w:rsidRDefault="67FA0831" w:rsidP="76C0B922">
      <w:pPr>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Because the lognormal distribution showed an overestimation for </w:t>
      </w:r>
      <w:r w:rsidR="77EA56D4" w:rsidRPr="00E204F6">
        <w:rPr>
          <w:rFonts w:ascii="Times New Roman" w:eastAsia="Times New Roman" w:hAnsi="Times New Roman" w:cs="Times New Roman"/>
          <w:sz w:val="24"/>
          <w:szCs w:val="24"/>
        </w:rPr>
        <w:t>Cabazitaxel</w:t>
      </w:r>
      <w:r w:rsidRPr="00E204F6">
        <w:rPr>
          <w:rFonts w:ascii="Times New Roman" w:eastAsia="Times New Roman" w:hAnsi="Times New Roman" w:cs="Times New Roman"/>
          <w:sz w:val="24"/>
          <w:szCs w:val="24"/>
        </w:rPr>
        <w:t xml:space="preserve">, and for </w:t>
      </w:r>
      <w:r w:rsidR="2E1C6553" w:rsidRPr="00E204F6">
        <w:rPr>
          <w:rFonts w:ascii="Times New Roman" w:eastAsia="Times New Roman" w:hAnsi="Times New Roman" w:cs="Times New Roman"/>
          <w:sz w:val="24"/>
          <w:szCs w:val="24"/>
        </w:rPr>
        <w:t>Mitoxantrone</w:t>
      </w:r>
      <w:r w:rsidRPr="00E204F6">
        <w:rPr>
          <w:rFonts w:ascii="Times New Roman" w:eastAsia="Times New Roman" w:hAnsi="Times New Roman" w:cs="Times New Roman"/>
          <w:sz w:val="24"/>
          <w:szCs w:val="24"/>
        </w:rPr>
        <w:t xml:space="preserve"> none of the distributions fit perfectly, the Weibull distribution was selected for </w:t>
      </w:r>
      <w:r w:rsidR="2FA9EE62" w:rsidRPr="00E204F6">
        <w:rPr>
          <w:rFonts w:ascii="Times New Roman" w:eastAsia="Times New Roman" w:hAnsi="Times New Roman" w:cs="Times New Roman"/>
          <w:sz w:val="24"/>
          <w:szCs w:val="24"/>
        </w:rPr>
        <w:t>PFS. The same distribution was applied to both treatment arms to ensure internal consistency of the model, as using different distributions for each arm could introduce structural bias into the comparison</w:t>
      </w:r>
      <w:r w:rsidR="5887B7F7" w:rsidRPr="00E204F6">
        <w:rPr>
          <w:rFonts w:ascii="Times New Roman" w:eastAsia="Times New Roman" w:hAnsi="Times New Roman" w:cs="Times New Roman"/>
          <w:sz w:val="24"/>
          <w:szCs w:val="24"/>
        </w:rPr>
        <w:t>.</w:t>
      </w:r>
    </w:p>
    <w:p w14:paraId="06DC0BAC" w14:textId="7E7B582C" w:rsidR="7FF94EF3" w:rsidRPr="00E204F6" w:rsidRDefault="2B15AF3B" w:rsidP="00D022AE">
      <w:pPr>
        <w:spacing w:before="240" w:after="0"/>
        <w:rPr>
          <w:rFonts w:ascii="Times New Roman" w:eastAsia="Times New Roman" w:hAnsi="Times New Roman" w:cs="Times New Roman"/>
          <w:i/>
          <w:iCs/>
          <w:sz w:val="24"/>
          <w:szCs w:val="24"/>
        </w:rPr>
      </w:pPr>
      <w:r w:rsidRPr="00E204F6">
        <w:rPr>
          <w:rFonts w:ascii="Times New Roman" w:eastAsia="Times New Roman" w:hAnsi="Times New Roman" w:cs="Times New Roman"/>
          <w:i/>
          <w:iCs/>
          <w:sz w:val="24"/>
          <w:szCs w:val="24"/>
        </w:rPr>
        <w:t>Calculating health states</w:t>
      </w:r>
    </w:p>
    <w:p w14:paraId="3A94C8DE" w14:textId="2D754F7F" w:rsidR="43EE1B5E" w:rsidRPr="00E204F6" w:rsidRDefault="2B15AF3B" w:rsidP="76C0B922">
      <w:pPr>
        <w:spacing w:after="0"/>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The chosen parametric survival functions were </w:t>
      </w:r>
      <w:r w:rsidR="1E5733E1" w:rsidRPr="00E204F6">
        <w:rPr>
          <w:rFonts w:ascii="Times New Roman" w:eastAsia="Times New Roman" w:hAnsi="Times New Roman" w:cs="Times New Roman"/>
          <w:sz w:val="24"/>
          <w:szCs w:val="24"/>
        </w:rPr>
        <w:t>implemented within</w:t>
      </w:r>
      <w:r w:rsidRPr="00E204F6">
        <w:rPr>
          <w:rFonts w:ascii="Times New Roman" w:eastAsia="Times New Roman" w:hAnsi="Times New Roman" w:cs="Times New Roman"/>
          <w:sz w:val="24"/>
          <w:szCs w:val="24"/>
        </w:rPr>
        <w:t xml:space="preserve"> </w:t>
      </w:r>
      <w:r w:rsidR="312096B1" w:rsidRPr="00E204F6">
        <w:rPr>
          <w:rFonts w:ascii="Times New Roman" w:eastAsia="Times New Roman" w:hAnsi="Times New Roman" w:cs="Times New Roman"/>
          <w:sz w:val="24"/>
          <w:szCs w:val="24"/>
        </w:rPr>
        <w:t xml:space="preserve">the partitioned </w:t>
      </w:r>
      <w:r w:rsidRPr="00E204F6">
        <w:rPr>
          <w:rFonts w:ascii="Times New Roman" w:eastAsia="Times New Roman" w:hAnsi="Times New Roman" w:cs="Times New Roman"/>
          <w:sz w:val="24"/>
          <w:szCs w:val="24"/>
        </w:rPr>
        <w:t xml:space="preserve">survival model. At each </w:t>
      </w:r>
      <w:r w:rsidR="5122C15D" w:rsidRPr="00E204F6">
        <w:rPr>
          <w:rFonts w:ascii="Times New Roman" w:eastAsia="Times New Roman" w:hAnsi="Times New Roman" w:cs="Times New Roman"/>
          <w:sz w:val="24"/>
          <w:szCs w:val="24"/>
        </w:rPr>
        <w:t xml:space="preserve">3-week </w:t>
      </w:r>
      <w:r w:rsidRPr="00E204F6">
        <w:rPr>
          <w:rFonts w:ascii="Times New Roman" w:eastAsia="Times New Roman" w:hAnsi="Times New Roman" w:cs="Times New Roman"/>
          <w:sz w:val="24"/>
          <w:szCs w:val="24"/>
        </w:rPr>
        <w:t xml:space="preserve">cycle in the model, the number of patients </w:t>
      </w:r>
      <w:r w:rsidR="55D6EE47" w:rsidRPr="00E204F6">
        <w:rPr>
          <w:rFonts w:ascii="Times New Roman" w:eastAsia="Times New Roman" w:hAnsi="Times New Roman" w:cs="Times New Roman"/>
          <w:sz w:val="24"/>
          <w:szCs w:val="24"/>
        </w:rPr>
        <w:t xml:space="preserve">in </w:t>
      </w:r>
      <w:r w:rsidR="794DB2AE" w:rsidRPr="00E204F6">
        <w:rPr>
          <w:rFonts w:ascii="Times New Roman" w:eastAsia="Times New Roman" w:hAnsi="Times New Roman" w:cs="Times New Roman"/>
          <w:sz w:val="24"/>
          <w:szCs w:val="24"/>
        </w:rPr>
        <w:t>SD</w:t>
      </w:r>
      <w:r w:rsidRPr="00E204F6">
        <w:rPr>
          <w:rFonts w:ascii="Times New Roman" w:eastAsia="Times New Roman" w:hAnsi="Times New Roman" w:cs="Times New Roman"/>
          <w:sz w:val="24"/>
          <w:szCs w:val="24"/>
        </w:rPr>
        <w:t xml:space="preserve"> w</w:t>
      </w:r>
      <w:r w:rsidR="58C10F26" w:rsidRPr="00E204F6">
        <w:rPr>
          <w:rFonts w:ascii="Times New Roman" w:eastAsia="Times New Roman" w:hAnsi="Times New Roman" w:cs="Times New Roman"/>
          <w:sz w:val="24"/>
          <w:szCs w:val="24"/>
        </w:rPr>
        <w:t>as</w:t>
      </w:r>
      <w:r w:rsidRPr="00E204F6">
        <w:rPr>
          <w:rFonts w:ascii="Times New Roman" w:eastAsia="Times New Roman" w:hAnsi="Times New Roman" w:cs="Times New Roman"/>
          <w:sz w:val="24"/>
          <w:szCs w:val="24"/>
        </w:rPr>
        <w:t xml:space="preserve"> </w:t>
      </w:r>
      <w:r w:rsidR="58C10F26" w:rsidRPr="00E204F6">
        <w:rPr>
          <w:rFonts w:ascii="Times New Roman" w:eastAsia="Times New Roman" w:hAnsi="Times New Roman" w:cs="Times New Roman"/>
          <w:sz w:val="24"/>
          <w:szCs w:val="24"/>
        </w:rPr>
        <w:t xml:space="preserve">directly </w:t>
      </w:r>
      <w:r w:rsidRPr="00E204F6">
        <w:rPr>
          <w:rFonts w:ascii="Times New Roman" w:eastAsia="Times New Roman" w:hAnsi="Times New Roman" w:cs="Times New Roman"/>
          <w:sz w:val="24"/>
          <w:szCs w:val="24"/>
        </w:rPr>
        <w:t>calculated by multiplying the cohort size (</w:t>
      </w:r>
      <w:r w:rsidR="6C0E121D" w:rsidRPr="00E204F6">
        <w:rPr>
          <w:rFonts w:ascii="Times New Roman" w:eastAsia="Times New Roman" w:hAnsi="Times New Roman" w:cs="Times New Roman"/>
          <w:i/>
          <w:iCs/>
          <w:sz w:val="24"/>
          <w:szCs w:val="24"/>
        </w:rPr>
        <w:t xml:space="preserve">n = </w:t>
      </w:r>
      <w:r w:rsidRPr="00E204F6">
        <w:rPr>
          <w:rFonts w:ascii="Times New Roman" w:eastAsia="Times New Roman" w:hAnsi="Times New Roman" w:cs="Times New Roman"/>
          <w:sz w:val="24"/>
          <w:szCs w:val="24"/>
        </w:rPr>
        <w:t>1</w:t>
      </w:r>
      <w:r w:rsidR="30AC8093" w:rsidRPr="00E204F6">
        <w:rPr>
          <w:rFonts w:ascii="Times New Roman" w:eastAsia="Times New Roman" w:hAnsi="Times New Roman" w:cs="Times New Roman"/>
          <w:sz w:val="24"/>
          <w:szCs w:val="24"/>
        </w:rPr>
        <w:t>,</w:t>
      </w:r>
      <w:r w:rsidRPr="00E204F6">
        <w:rPr>
          <w:rFonts w:ascii="Times New Roman" w:eastAsia="Times New Roman" w:hAnsi="Times New Roman" w:cs="Times New Roman"/>
          <w:sz w:val="24"/>
          <w:szCs w:val="24"/>
        </w:rPr>
        <w:t>000)</w:t>
      </w:r>
      <w:r w:rsidRPr="00E204F6">
        <w:rPr>
          <w:rFonts w:ascii="Times New Roman" w:eastAsia="Times New Roman" w:hAnsi="Times New Roman" w:cs="Times New Roman"/>
          <w:color w:val="0000FF"/>
          <w:sz w:val="24"/>
          <w:szCs w:val="24"/>
        </w:rPr>
        <w:t xml:space="preserve"> </w:t>
      </w:r>
      <w:r w:rsidRPr="00E204F6">
        <w:rPr>
          <w:rFonts w:ascii="Times New Roman" w:eastAsia="Times New Roman" w:hAnsi="Times New Roman" w:cs="Times New Roman"/>
          <w:sz w:val="24"/>
          <w:szCs w:val="24"/>
        </w:rPr>
        <w:t xml:space="preserve">by the </w:t>
      </w:r>
      <w:r w:rsidR="29B865EF" w:rsidRPr="00E204F6">
        <w:rPr>
          <w:rFonts w:ascii="Times New Roman" w:eastAsia="Times New Roman" w:hAnsi="Times New Roman" w:cs="Times New Roman"/>
          <w:sz w:val="24"/>
          <w:szCs w:val="24"/>
        </w:rPr>
        <w:t>PFS</w:t>
      </w:r>
      <w:r w:rsidR="1240CA4B" w:rsidRPr="00E204F6">
        <w:rPr>
          <w:rFonts w:ascii="Times New Roman" w:eastAsia="Times New Roman" w:hAnsi="Times New Roman" w:cs="Times New Roman"/>
          <w:sz w:val="24"/>
          <w:szCs w:val="24"/>
        </w:rPr>
        <w:t xml:space="preserve"> probability at that </w:t>
      </w:r>
      <w:r w:rsidR="631CF5CB" w:rsidRPr="00E204F6">
        <w:rPr>
          <w:rFonts w:ascii="Times New Roman" w:eastAsia="Times New Roman" w:hAnsi="Times New Roman" w:cs="Times New Roman"/>
          <w:sz w:val="24"/>
          <w:szCs w:val="24"/>
        </w:rPr>
        <w:t>cycle</w:t>
      </w:r>
      <w:r w:rsidR="1466A588" w:rsidRPr="00E204F6">
        <w:rPr>
          <w:rFonts w:ascii="Times New Roman" w:eastAsia="Times New Roman" w:hAnsi="Times New Roman" w:cs="Times New Roman"/>
          <w:sz w:val="24"/>
          <w:szCs w:val="24"/>
        </w:rPr>
        <w:t xml:space="preserve">. </w:t>
      </w:r>
      <w:r w:rsidRPr="00E204F6">
        <w:rPr>
          <w:rFonts w:ascii="Times New Roman" w:eastAsia="Times New Roman" w:hAnsi="Times New Roman" w:cs="Times New Roman"/>
          <w:sz w:val="24"/>
          <w:szCs w:val="24"/>
        </w:rPr>
        <w:t>The</w:t>
      </w:r>
      <w:r w:rsidR="0B0FEF0B" w:rsidRPr="00E204F6">
        <w:rPr>
          <w:rFonts w:ascii="Times New Roman" w:eastAsia="Times New Roman" w:hAnsi="Times New Roman" w:cs="Times New Roman"/>
          <w:sz w:val="24"/>
          <w:szCs w:val="24"/>
        </w:rPr>
        <w:t xml:space="preserve"> number of patients in the dead state was calculated </w:t>
      </w:r>
      <w:r w:rsidR="388B05A6" w:rsidRPr="00E204F6">
        <w:rPr>
          <w:rFonts w:ascii="Times New Roman" w:eastAsia="Times New Roman" w:hAnsi="Times New Roman" w:cs="Times New Roman"/>
          <w:sz w:val="24"/>
          <w:szCs w:val="24"/>
        </w:rPr>
        <w:t xml:space="preserve">by multiplying the cohort size by 1 minus the OS probability of that cycle. The number of patients in progressed disease was calculated by multiplying the cohort size by the OS probability minus the PFS probability at that cycle, representing patients who are still </w:t>
      </w:r>
      <w:r w:rsidR="13922D8A" w:rsidRPr="00E204F6">
        <w:rPr>
          <w:rFonts w:ascii="Times New Roman" w:eastAsia="Times New Roman" w:hAnsi="Times New Roman" w:cs="Times New Roman"/>
          <w:sz w:val="24"/>
          <w:szCs w:val="24"/>
        </w:rPr>
        <w:t>alive,</w:t>
      </w:r>
      <w:r w:rsidR="388B05A6" w:rsidRPr="00E204F6">
        <w:rPr>
          <w:rFonts w:ascii="Times New Roman" w:eastAsia="Times New Roman" w:hAnsi="Times New Roman" w:cs="Times New Roman"/>
          <w:sz w:val="24"/>
          <w:szCs w:val="24"/>
        </w:rPr>
        <w:t xml:space="preserve"> but whose disease has progressed.</w:t>
      </w:r>
      <w:r w:rsidR="75E027D2" w:rsidRPr="00E204F6">
        <w:rPr>
          <w:rFonts w:ascii="Times New Roman" w:eastAsia="Times New Roman" w:hAnsi="Times New Roman" w:cs="Times New Roman"/>
          <w:sz w:val="24"/>
          <w:szCs w:val="24"/>
        </w:rPr>
        <w:t xml:space="preserve"> </w:t>
      </w:r>
      <w:r w:rsidRPr="00E204F6">
        <w:rPr>
          <w:rFonts w:ascii="Times New Roman" w:eastAsia="Times New Roman" w:hAnsi="Times New Roman" w:cs="Times New Roman"/>
          <w:sz w:val="24"/>
          <w:szCs w:val="24"/>
        </w:rPr>
        <w:t>Half-cycle correction was applied to account for transitions occurring throughout the cycle rather than a</w:t>
      </w:r>
      <w:r w:rsidR="33617E69" w:rsidRPr="00E204F6">
        <w:rPr>
          <w:rFonts w:ascii="Times New Roman" w:eastAsia="Times New Roman" w:hAnsi="Times New Roman" w:cs="Times New Roman"/>
          <w:sz w:val="24"/>
          <w:szCs w:val="24"/>
        </w:rPr>
        <w:t>t a</w:t>
      </w:r>
      <w:r w:rsidRPr="00E204F6">
        <w:rPr>
          <w:rFonts w:ascii="Times New Roman" w:eastAsia="Times New Roman" w:hAnsi="Times New Roman" w:cs="Times New Roman"/>
          <w:sz w:val="24"/>
          <w:szCs w:val="24"/>
        </w:rPr>
        <w:t xml:space="preserve"> single time point.</w:t>
      </w:r>
    </w:p>
    <w:p w14:paraId="79168F43" w14:textId="129495D6" w:rsidR="76C0B922" w:rsidRPr="00E204F6" w:rsidRDefault="76C0B922" w:rsidP="76C0B922">
      <w:pPr>
        <w:spacing w:after="0"/>
        <w:rPr>
          <w:rFonts w:ascii="Times New Roman" w:eastAsia="Times New Roman" w:hAnsi="Times New Roman" w:cs="Times New Roman"/>
          <w:sz w:val="16"/>
          <w:szCs w:val="16"/>
        </w:rPr>
      </w:pPr>
    </w:p>
    <w:p w14:paraId="31A06911" w14:textId="77777777" w:rsidR="00D022AE" w:rsidRDefault="1E7E188A" w:rsidP="76C0B922">
      <w:pPr>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In addition, the number of newly progressed patients at each cycle was calculated as </w:t>
      </w:r>
      <w:r w:rsidR="074CF4CA" w:rsidRPr="00E204F6">
        <w:rPr>
          <w:rFonts w:ascii="Times New Roman" w:eastAsia="Times New Roman" w:hAnsi="Times New Roman" w:cs="Times New Roman"/>
          <w:sz w:val="24"/>
          <w:szCs w:val="24"/>
        </w:rPr>
        <w:t xml:space="preserve">the difference in the number of </w:t>
      </w:r>
      <w:r w:rsidR="5E993FCD" w:rsidRPr="00E204F6">
        <w:rPr>
          <w:rFonts w:ascii="Times New Roman" w:eastAsia="Times New Roman" w:hAnsi="Times New Roman" w:cs="Times New Roman"/>
          <w:sz w:val="24"/>
          <w:szCs w:val="24"/>
        </w:rPr>
        <w:t>SD</w:t>
      </w:r>
      <w:r w:rsidR="074CF4CA" w:rsidRPr="00E204F6">
        <w:rPr>
          <w:rFonts w:ascii="Times New Roman" w:eastAsia="Times New Roman" w:hAnsi="Times New Roman" w:cs="Times New Roman"/>
          <w:sz w:val="24"/>
          <w:szCs w:val="24"/>
        </w:rPr>
        <w:t xml:space="preserve"> patients between consecutive cycles. This </w:t>
      </w:r>
      <w:bookmarkStart w:id="4" w:name="_Int_q5oWRYm3"/>
      <w:r w:rsidR="074CF4CA" w:rsidRPr="00E204F6">
        <w:rPr>
          <w:rFonts w:ascii="Times New Roman" w:eastAsia="Times New Roman" w:hAnsi="Times New Roman" w:cs="Times New Roman"/>
          <w:sz w:val="24"/>
          <w:szCs w:val="24"/>
        </w:rPr>
        <w:t>is based on the assumption</w:t>
      </w:r>
      <w:bookmarkEnd w:id="4"/>
      <w:r w:rsidR="074CF4CA" w:rsidRPr="00E204F6">
        <w:rPr>
          <w:rFonts w:ascii="Times New Roman" w:eastAsia="Times New Roman" w:hAnsi="Times New Roman" w:cs="Times New Roman"/>
          <w:sz w:val="24"/>
          <w:szCs w:val="24"/>
        </w:rPr>
        <w:t xml:space="preserve"> that all patients leaving the </w:t>
      </w:r>
      <w:r w:rsidR="1B7382B7" w:rsidRPr="00E204F6">
        <w:rPr>
          <w:rFonts w:ascii="Times New Roman" w:eastAsia="Times New Roman" w:hAnsi="Times New Roman" w:cs="Times New Roman"/>
          <w:sz w:val="24"/>
          <w:szCs w:val="24"/>
        </w:rPr>
        <w:t>SD</w:t>
      </w:r>
      <w:r w:rsidR="074CF4CA" w:rsidRPr="00E204F6">
        <w:rPr>
          <w:rFonts w:ascii="Times New Roman" w:eastAsia="Times New Roman" w:hAnsi="Times New Roman" w:cs="Times New Roman"/>
          <w:sz w:val="24"/>
          <w:szCs w:val="24"/>
        </w:rPr>
        <w:t xml:space="preserve"> state must </w:t>
      </w:r>
      <w:r w:rsidR="7F95CA55" w:rsidRPr="00E204F6">
        <w:rPr>
          <w:rFonts w:ascii="Times New Roman" w:eastAsia="Times New Roman" w:hAnsi="Times New Roman" w:cs="Times New Roman"/>
          <w:sz w:val="24"/>
          <w:szCs w:val="24"/>
        </w:rPr>
        <w:t>go</w:t>
      </w:r>
      <w:r w:rsidR="6ED49AF9" w:rsidRPr="00E204F6">
        <w:rPr>
          <w:rFonts w:ascii="Times New Roman" w:eastAsia="Times New Roman" w:hAnsi="Times New Roman" w:cs="Times New Roman"/>
          <w:sz w:val="24"/>
          <w:szCs w:val="24"/>
        </w:rPr>
        <w:t xml:space="preserve"> </w:t>
      </w:r>
      <w:r w:rsidR="7F95CA55" w:rsidRPr="00E204F6">
        <w:rPr>
          <w:rFonts w:ascii="Times New Roman" w:eastAsia="Times New Roman" w:hAnsi="Times New Roman" w:cs="Times New Roman"/>
          <w:sz w:val="24"/>
          <w:szCs w:val="24"/>
        </w:rPr>
        <w:t>via</w:t>
      </w:r>
      <w:r w:rsidR="074CF4CA" w:rsidRPr="00E204F6">
        <w:rPr>
          <w:rFonts w:ascii="Times New Roman" w:eastAsia="Times New Roman" w:hAnsi="Times New Roman" w:cs="Times New Roman"/>
          <w:sz w:val="24"/>
          <w:szCs w:val="24"/>
        </w:rPr>
        <w:t xml:space="preserve"> progress</w:t>
      </w:r>
      <w:r w:rsidR="11428F8C" w:rsidRPr="00E204F6">
        <w:rPr>
          <w:rFonts w:ascii="Times New Roman" w:eastAsia="Times New Roman" w:hAnsi="Times New Roman" w:cs="Times New Roman"/>
          <w:sz w:val="24"/>
          <w:szCs w:val="24"/>
        </w:rPr>
        <w:t>ion</w:t>
      </w:r>
      <w:r w:rsidR="074CF4CA" w:rsidRPr="00E204F6">
        <w:rPr>
          <w:rFonts w:ascii="Times New Roman" w:eastAsia="Times New Roman" w:hAnsi="Times New Roman" w:cs="Times New Roman"/>
          <w:sz w:val="24"/>
          <w:szCs w:val="24"/>
        </w:rPr>
        <w:t xml:space="preserve">, meaning no direct transition from </w:t>
      </w:r>
      <w:r w:rsidR="2970D1B2" w:rsidRPr="00E204F6">
        <w:rPr>
          <w:rFonts w:ascii="Times New Roman" w:eastAsia="Times New Roman" w:hAnsi="Times New Roman" w:cs="Times New Roman"/>
          <w:sz w:val="24"/>
          <w:szCs w:val="24"/>
        </w:rPr>
        <w:t>SD</w:t>
      </w:r>
      <w:r w:rsidR="074CF4CA" w:rsidRPr="00E204F6">
        <w:rPr>
          <w:rFonts w:ascii="Times New Roman" w:eastAsia="Times New Roman" w:hAnsi="Times New Roman" w:cs="Times New Roman"/>
          <w:sz w:val="24"/>
          <w:szCs w:val="24"/>
        </w:rPr>
        <w:t xml:space="preserve"> to death is possible in the model</w:t>
      </w:r>
      <w:r w:rsidR="07B2E1A0" w:rsidRPr="00E204F6">
        <w:rPr>
          <w:rFonts w:ascii="Times New Roman" w:eastAsia="Times New Roman" w:hAnsi="Times New Roman" w:cs="Times New Roman"/>
          <w:sz w:val="24"/>
          <w:szCs w:val="24"/>
        </w:rPr>
        <w:t xml:space="preserve"> (see </w:t>
      </w:r>
      <w:r w:rsidR="2E90EA3A" w:rsidRPr="00E204F6">
        <w:rPr>
          <w:rFonts w:ascii="Times New Roman" w:eastAsia="Times New Roman" w:hAnsi="Times New Roman" w:cs="Times New Roman"/>
          <w:sz w:val="24"/>
          <w:szCs w:val="24"/>
        </w:rPr>
        <w:t>Figure</w:t>
      </w:r>
      <w:r w:rsidR="07B2E1A0" w:rsidRPr="00E204F6">
        <w:rPr>
          <w:rFonts w:ascii="Times New Roman" w:eastAsia="Times New Roman" w:hAnsi="Times New Roman" w:cs="Times New Roman"/>
          <w:sz w:val="24"/>
          <w:szCs w:val="24"/>
        </w:rPr>
        <w:t xml:space="preserve"> 1)</w:t>
      </w:r>
      <w:r w:rsidR="074CF4CA" w:rsidRPr="00E204F6">
        <w:rPr>
          <w:rFonts w:ascii="Times New Roman" w:eastAsia="Times New Roman" w:hAnsi="Times New Roman" w:cs="Times New Roman"/>
          <w:sz w:val="24"/>
          <w:szCs w:val="24"/>
        </w:rPr>
        <w:t xml:space="preserve">. </w:t>
      </w:r>
      <w:r w:rsidR="14E225D5" w:rsidRPr="00E204F6">
        <w:rPr>
          <w:rFonts w:ascii="Times New Roman" w:eastAsia="Times New Roman" w:hAnsi="Times New Roman" w:cs="Times New Roman"/>
          <w:color w:val="000000" w:themeColor="text1"/>
          <w:sz w:val="24"/>
          <w:szCs w:val="24"/>
        </w:rPr>
        <w:t>This will give the upper bound of the number of patients that have newly progressed.</w:t>
      </w:r>
      <w:r w:rsidR="14E225D5" w:rsidRPr="00E204F6">
        <w:rPr>
          <w:rFonts w:ascii="Times New Roman" w:eastAsia="Times New Roman" w:hAnsi="Times New Roman" w:cs="Times New Roman"/>
          <w:sz w:val="24"/>
          <w:szCs w:val="24"/>
        </w:rPr>
        <w:t xml:space="preserve"> </w:t>
      </w:r>
      <w:r w:rsidR="074CF4CA" w:rsidRPr="00E204F6">
        <w:rPr>
          <w:rFonts w:ascii="Times New Roman" w:eastAsia="Times New Roman" w:hAnsi="Times New Roman" w:cs="Times New Roman"/>
          <w:sz w:val="24"/>
          <w:szCs w:val="24"/>
        </w:rPr>
        <w:t>Similarl</w:t>
      </w:r>
      <w:r w:rsidR="458CD6DE" w:rsidRPr="00E204F6">
        <w:rPr>
          <w:rFonts w:ascii="Times New Roman" w:eastAsia="Times New Roman" w:hAnsi="Times New Roman" w:cs="Times New Roman"/>
          <w:sz w:val="24"/>
          <w:szCs w:val="24"/>
        </w:rPr>
        <w:t>y</w:t>
      </w:r>
      <w:r w:rsidR="2A6F898C" w:rsidRPr="00E204F6">
        <w:rPr>
          <w:rFonts w:ascii="Times New Roman" w:eastAsia="Times New Roman" w:hAnsi="Times New Roman" w:cs="Times New Roman"/>
          <w:sz w:val="24"/>
          <w:szCs w:val="24"/>
        </w:rPr>
        <w:t xml:space="preserve">, the number of </w:t>
      </w:r>
      <w:r w:rsidR="348DE81D" w:rsidRPr="00E204F6">
        <w:rPr>
          <w:rFonts w:ascii="Times New Roman" w:eastAsia="Times New Roman" w:hAnsi="Times New Roman" w:cs="Times New Roman"/>
          <w:sz w:val="24"/>
          <w:szCs w:val="24"/>
        </w:rPr>
        <w:t>‘</w:t>
      </w:r>
      <w:r w:rsidR="2A6F898C" w:rsidRPr="00E204F6">
        <w:rPr>
          <w:rFonts w:ascii="Times New Roman" w:eastAsia="Times New Roman" w:hAnsi="Times New Roman" w:cs="Times New Roman"/>
          <w:sz w:val="24"/>
          <w:szCs w:val="24"/>
        </w:rPr>
        <w:t>newly d</w:t>
      </w:r>
      <w:r w:rsidR="5A2900EE" w:rsidRPr="00E204F6">
        <w:rPr>
          <w:rFonts w:ascii="Times New Roman" w:eastAsia="Times New Roman" w:hAnsi="Times New Roman" w:cs="Times New Roman"/>
          <w:sz w:val="24"/>
          <w:szCs w:val="24"/>
        </w:rPr>
        <w:t>ied’</w:t>
      </w:r>
      <w:r w:rsidR="2A6F898C" w:rsidRPr="00E204F6">
        <w:rPr>
          <w:rFonts w:ascii="Times New Roman" w:eastAsia="Times New Roman" w:hAnsi="Times New Roman" w:cs="Times New Roman"/>
          <w:sz w:val="24"/>
          <w:szCs w:val="24"/>
        </w:rPr>
        <w:t xml:space="preserve"> patients at each cycle </w:t>
      </w:r>
      <w:r w:rsidR="0CB431C4" w:rsidRPr="00E204F6">
        <w:rPr>
          <w:rFonts w:ascii="Times New Roman" w:eastAsia="Times New Roman" w:hAnsi="Times New Roman" w:cs="Times New Roman"/>
          <w:sz w:val="24"/>
          <w:szCs w:val="24"/>
        </w:rPr>
        <w:t xml:space="preserve">was calculated </w:t>
      </w:r>
      <w:r w:rsidR="5EC9CFC8" w:rsidRPr="00E204F6">
        <w:rPr>
          <w:rFonts w:ascii="Times New Roman" w:eastAsia="Times New Roman" w:hAnsi="Times New Roman" w:cs="Times New Roman"/>
          <w:color w:val="000000" w:themeColor="text1"/>
          <w:sz w:val="24"/>
          <w:szCs w:val="24"/>
        </w:rPr>
        <w:t>by the number of patients in the death health state cycle</w:t>
      </w:r>
      <w:r w:rsidR="14807A80" w:rsidRPr="00E204F6">
        <w:rPr>
          <w:rFonts w:ascii="Times New Roman" w:eastAsia="Times New Roman" w:hAnsi="Times New Roman" w:cs="Times New Roman"/>
          <w:color w:val="000000" w:themeColor="text1"/>
          <w:sz w:val="24"/>
          <w:szCs w:val="24"/>
        </w:rPr>
        <w:t xml:space="preserve"> (t)</w:t>
      </w:r>
      <w:r w:rsidR="5EC9CFC8" w:rsidRPr="00E204F6">
        <w:rPr>
          <w:rFonts w:ascii="Times New Roman" w:eastAsia="Times New Roman" w:hAnsi="Times New Roman" w:cs="Times New Roman"/>
          <w:color w:val="000000" w:themeColor="text1"/>
          <w:sz w:val="24"/>
          <w:szCs w:val="24"/>
        </w:rPr>
        <w:t xml:space="preserve"> minus the number of patients in the death health state in</w:t>
      </w:r>
      <w:r w:rsidR="7E3654E4" w:rsidRPr="00E204F6">
        <w:rPr>
          <w:rFonts w:ascii="Times New Roman" w:eastAsia="Times New Roman" w:hAnsi="Times New Roman" w:cs="Times New Roman"/>
          <w:color w:val="000000" w:themeColor="text1"/>
          <w:sz w:val="24"/>
          <w:szCs w:val="24"/>
        </w:rPr>
        <w:t xml:space="preserve"> the</w:t>
      </w:r>
      <w:r w:rsidR="5EC9CFC8" w:rsidRPr="00E204F6">
        <w:rPr>
          <w:rFonts w:ascii="Times New Roman" w:eastAsia="Times New Roman" w:hAnsi="Times New Roman" w:cs="Times New Roman"/>
          <w:color w:val="000000" w:themeColor="text1"/>
          <w:sz w:val="24"/>
          <w:szCs w:val="24"/>
        </w:rPr>
        <w:t xml:space="preserve"> previous cycle</w:t>
      </w:r>
      <w:r w:rsidR="2514D915" w:rsidRPr="00E204F6">
        <w:rPr>
          <w:rFonts w:ascii="Times New Roman" w:eastAsia="Times New Roman" w:hAnsi="Times New Roman" w:cs="Times New Roman"/>
          <w:color w:val="000000" w:themeColor="text1"/>
          <w:sz w:val="24"/>
          <w:szCs w:val="24"/>
        </w:rPr>
        <w:t xml:space="preserve"> (t-1)</w:t>
      </w:r>
      <w:r w:rsidR="5EC9CFC8" w:rsidRPr="00E204F6">
        <w:rPr>
          <w:rFonts w:ascii="Times New Roman" w:eastAsia="Times New Roman" w:hAnsi="Times New Roman" w:cs="Times New Roman"/>
          <w:color w:val="000000" w:themeColor="text1"/>
          <w:sz w:val="24"/>
          <w:szCs w:val="24"/>
        </w:rPr>
        <w:t>.</w:t>
      </w:r>
      <w:r w:rsidR="30BE444A" w:rsidRPr="00E204F6">
        <w:rPr>
          <w:rFonts w:ascii="Times New Roman" w:eastAsia="Times New Roman" w:hAnsi="Times New Roman" w:cs="Times New Roman"/>
          <w:color w:val="000000" w:themeColor="text1"/>
          <w:sz w:val="24"/>
          <w:szCs w:val="24"/>
        </w:rPr>
        <w:t xml:space="preserve"> </w:t>
      </w:r>
      <w:r w:rsidR="773533BF" w:rsidRPr="00E204F6">
        <w:rPr>
          <w:rFonts w:ascii="Times New Roman" w:eastAsia="Times New Roman" w:hAnsi="Times New Roman" w:cs="Times New Roman"/>
          <w:sz w:val="24"/>
          <w:szCs w:val="24"/>
        </w:rPr>
        <w:t>These newly progressed and newly deceased counts were used to apply one-off costs at the point of progression and</w:t>
      </w:r>
      <w:r w:rsidR="4F869735" w:rsidRPr="00E204F6">
        <w:rPr>
          <w:rFonts w:ascii="Times New Roman" w:eastAsia="Times New Roman" w:hAnsi="Times New Roman" w:cs="Times New Roman"/>
          <w:sz w:val="24"/>
          <w:szCs w:val="24"/>
        </w:rPr>
        <w:t xml:space="preserve"> at the point of death, as described in the resource use and costs section.</w:t>
      </w:r>
      <w:r w:rsidR="00D022AE">
        <w:rPr>
          <w:rFonts w:ascii="Times New Roman" w:eastAsia="Times New Roman" w:hAnsi="Times New Roman" w:cs="Times New Roman"/>
          <w:sz w:val="24"/>
          <w:szCs w:val="24"/>
        </w:rPr>
        <w:t xml:space="preserve"> </w:t>
      </w:r>
    </w:p>
    <w:p w14:paraId="4925DA92" w14:textId="4F8EBAC8" w:rsidR="4F869735" w:rsidRPr="00E204F6" w:rsidRDefault="4F869735" w:rsidP="76C0B922">
      <w:pPr>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The resulting patient counts and transition values formed the bas</w:t>
      </w:r>
      <w:r w:rsidR="549372D5" w:rsidRPr="00E204F6">
        <w:rPr>
          <w:rFonts w:ascii="Times New Roman" w:eastAsia="Times New Roman" w:hAnsi="Times New Roman" w:cs="Times New Roman"/>
          <w:sz w:val="24"/>
          <w:szCs w:val="24"/>
        </w:rPr>
        <w:t>is of the model trace.</w:t>
      </w:r>
    </w:p>
    <w:p w14:paraId="7DD33121" w14:textId="131AE765" w:rsidR="146616E5" w:rsidRPr="00E204F6" w:rsidRDefault="76C0B922" w:rsidP="76C0B922">
      <w:pPr>
        <w:rPr>
          <w:rStyle w:val="Heading2Char"/>
          <w:rFonts w:ascii="Times New Roman" w:eastAsia="Times New Roman" w:hAnsi="Times New Roman" w:cs="Times New Roman"/>
          <w:color w:val="auto"/>
          <w:sz w:val="28"/>
          <w:szCs w:val="28"/>
        </w:rPr>
      </w:pPr>
      <w:r w:rsidRPr="30076135">
        <w:rPr>
          <w:rFonts w:ascii="Times New Roman" w:hAnsi="Times New Roman" w:cs="Times New Roman"/>
        </w:rPr>
        <w:br w:type="page"/>
      </w:r>
      <w:r w:rsidR="146616E5" w:rsidRPr="30076135">
        <w:rPr>
          <w:rStyle w:val="Heading2Char"/>
          <w:rFonts w:ascii="Times New Roman" w:eastAsia="Times New Roman" w:hAnsi="Times New Roman" w:cs="Times New Roman"/>
          <w:color w:val="auto"/>
          <w:sz w:val="28"/>
          <w:szCs w:val="28"/>
        </w:rPr>
        <w:lastRenderedPageBreak/>
        <w:t>H</w:t>
      </w:r>
      <w:r w:rsidR="41086AD3" w:rsidRPr="30076135">
        <w:rPr>
          <w:rStyle w:val="Heading2Char"/>
          <w:rFonts w:ascii="Times New Roman" w:eastAsia="Times New Roman" w:hAnsi="Times New Roman" w:cs="Times New Roman"/>
          <w:color w:val="auto"/>
          <w:sz w:val="28"/>
          <w:szCs w:val="28"/>
        </w:rPr>
        <w:t>EALTH-RELATED QUALITY OF LIFE</w:t>
      </w:r>
    </w:p>
    <w:p w14:paraId="0DC24A24" w14:textId="3A514087" w:rsidR="6864524D" w:rsidRPr="00E204F6" w:rsidRDefault="6451E3A4" w:rsidP="76C0B922">
      <w:pPr>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The treatment effect section described how the chosen parametric survival functions were used to calculate the proportion of patients in each health state at every model cycle, with half-cycle correction applied. These pr</w:t>
      </w:r>
      <w:r w:rsidR="28A03E8B" w:rsidRPr="00E204F6">
        <w:rPr>
          <w:rFonts w:ascii="Times New Roman" w:eastAsia="Times New Roman" w:hAnsi="Times New Roman" w:cs="Times New Roman"/>
          <w:sz w:val="24"/>
          <w:szCs w:val="24"/>
        </w:rPr>
        <w:t>oportions form the basis for calculating life years (LYs) and, subsequently</w:t>
      </w:r>
      <w:r w:rsidR="65B46C1D" w:rsidRPr="00E204F6">
        <w:rPr>
          <w:rFonts w:ascii="Times New Roman" w:eastAsia="Times New Roman" w:hAnsi="Times New Roman" w:cs="Times New Roman"/>
          <w:sz w:val="24"/>
          <w:szCs w:val="24"/>
        </w:rPr>
        <w:t xml:space="preserve"> </w:t>
      </w:r>
      <w:r w:rsidR="28A03E8B" w:rsidRPr="00E204F6">
        <w:rPr>
          <w:rFonts w:ascii="Times New Roman" w:eastAsia="Times New Roman" w:hAnsi="Times New Roman" w:cs="Times New Roman"/>
          <w:sz w:val="24"/>
          <w:szCs w:val="24"/>
        </w:rPr>
        <w:t>QALYs</w:t>
      </w:r>
      <w:r w:rsidR="5A398196" w:rsidRPr="00E204F6">
        <w:rPr>
          <w:rFonts w:ascii="Times New Roman" w:eastAsia="Times New Roman" w:hAnsi="Times New Roman" w:cs="Times New Roman"/>
          <w:sz w:val="24"/>
          <w:szCs w:val="24"/>
        </w:rPr>
        <w:t>.</w:t>
      </w:r>
    </w:p>
    <w:p w14:paraId="6720F8DD" w14:textId="28527568" w:rsidR="2AEE467C" w:rsidRPr="00E204F6" w:rsidRDefault="28A03E8B" w:rsidP="76C0B922">
      <w:pPr>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LYs in </w:t>
      </w:r>
      <w:r w:rsidR="5EAB9ECB" w:rsidRPr="00E204F6">
        <w:rPr>
          <w:rFonts w:ascii="Times New Roman" w:eastAsia="Times New Roman" w:hAnsi="Times New Roman" w:cs="Times New Roman"/>
          <w:sz w:val="24"/>
          <w:szCs w:val="24"/>
        </w:rPr>
        <w:t>SD</w:t>
      </w:r>
      <w:r w:rsidRPr="00E204F6">
        <w:rPr>
          <w:rFonts w:ascii="Times New Roman" w:eastAsia="Times New Roman" w:hAnsi="Times New Roman" w:cs="Times New Roman"/>
          <w:sz w:val="24"/>
          <w:szCs w:val="24"/>
        </w:rPr>
        <w:t xml:space="preserve"> were calculated by multiplying the half-cycle corrected proportion of patients in </w:t>
      </w:r>
      <w:r w:rsidR="0965F148" w:rsidRPr="00E204F6">
        <w:rPr>
          <w:rFonts w:ascii="Times New Roman" w:eastAsia="Times New Roman" w:hAnsi="Times New Roman" w:cs="Times New Roman"/>
          <w:sz w:val="24"/>
          <w:szCs w:val="24"/>
        </w:rPr>
        <w:t>SD</w:t>
      </w:r>
      <w:r w:rsidRPr="00E204F6">
        <w:rPr>
          <w:rFonts w:ascii="Times New Roman" w:eastAsia="Times New Roman" w:hAnsi="Times New Roman" w:cs="Times New Roman"/>
          <w:sz w:val="24"/>
          <w:szCs w:val="24"/>
        </w:rPr>
        <w:t xml:space="preserve"> during a given cycle by the cycle length in years (3/52 of a year). Life years in the </w:t>
      </w:r>
      <w:r w:rsidR="30199708" w:rsidRPr="00E204F6">
        <w:rPr>
          <w:rFonts w:ascii="Times New Roman" w:eastAsia="Times New Roman" w:hAnsi="Times New Roman" w:cs="Times New Roman"/>
          <w:sz w:val="24"/>
          <w:szCs w:val="24"/>
        </w:rPr>
        <w:t>PD</w:t>
      </w:r>
      <w:r w:rsidRPr="00E204F6">
        <w:rPr>
          <w:rFonts w:ascii="Times New Roman" w:eastAsia="Times New Roman" w:hAnsi="Times New Roman" w:cs="Times New Roman"/>
          <w:sz w:val="24"/>
          <w:szCs w:val="24"/>
        </w:rPr>
        <w:t xml:space="preserve"> health state were calculated in the same</w:t>
      </w:r>
      <w:r w:rsidR="03F000D5" w:rsidRPr="00E204F6">
        <w:rPr>
          <w:rFonts w:ascii="Times New Roman" w:eastAsia="Times New Roman" w:hAnsi="Times New Roman" w:cs="Times New Roman"/>
          <w:sz w:val="24"/>
          <w:szCs w:val="24"/>
        </w:rPr>
        <w:t xml:space="preserve"> way, using the half-cycle corrected proportion in </w:t>
      </w:r>
      <w:r w:rsidR="48A37F90" w:rsidRPr="00E204F6">
        <w:rPr>
          <w:rFonts w:ascii="Times New Roman" w:eastAsia="Times New Roman" w:hAnsi="Times New Roman" w:cs="Times New Roman"/>
          <w:sz w:val="24"/>
          <w:szCs w:val="24"/>
        </w:rPr>
        <w:t>PD</w:t>
      </w:r>
      <w:r w:rsidR="03F000D5" w:rsidRPr="00E204F6">
        <w:rPr>
          <w:rFonts w:ascii="Times New Roman" w:eastAsia="Times New Roman" w:hAnsi="Times New Roman" w:cs="Times New Roman"/>
          <w:sz w:val="24"/>
          <w:szCs w:val="24"/>
        </w:rPr>
        <w:t>. Half-cycle correction was applied because transitions between health states can occur at any point during a c</w:t>
      </w:r>
      <w:r w:rsidR="7AAE979F" w:rsidRPr="00E204F6">
        <w:rPr>
          <w:rFonts w:ascii="Times New Roman" w:eastAsia="Times New Roman" w:hAnsi="Times New Roman" w:cs="Times New Roman"/>
          <w:sz w:val="24"/>
          <w:szCs w:val="24"/>
        </w:rPr>
        <w:t>ycle rather than at a fixed time point</w:t>
      </w:r>
      <w:r w:rsidR="65804209" w:rsidRPr="00E204F6">
        <w:rPr>
          <w:rFonts w:ascii="Times New Roman" w:eastAsia="Times New Roman" w:hAnsi="Times New Roman" w:cs="Times New Roman"/>
          <w:sz w:val="24"/>
          <w:szCs w:val="24"/>
        </w:rPr>
        <w:t xml:space="preserve">. Furthermore, </w:t>
      </w:r>
      <w:r w:rsidR="7AAE979F" w:rsidRPr="00E204F6">
        <w:rPr>
          <w:rFonts w:ascii="Times New Roman" w:eastAsia="Times New Roman" w:hAnsi="Times New Roman" w:cs="Times New Roman"/>
          <w:sz w:val="24"/>
          <w:szCs w:val="24"/>
        </w:rPr>
        <w:t xml:space="preserve">the corrected values provide a more accurate estimate of the average number of patients in each state during a cycle. Total LYs per patient were then obtained by summing across both health states and all model </w:t>
      </w:r>
      <w:r w:rsidR="7B39FF2C" w:rsidRPr="00E204F6">
        <w:rPr>
          <w:rFonts w:ascii="Times New Roman" w:eastAsia="Times New Roman" w:hAnsi="Times New Roman" w:cs="Times New Roman"/>
          <w:sz w:val="24"/>
          <w:szCs w:val="24"/>
        </w:rPr>
        <w:t>cycles and</w:t>
      </w:r>
      <w:r w:rsidR="7AAE979F" w:rsidRPr="00E204F6">
        <w:rPr>
          <w:rFonts w:ascii="Times New Roman" w:eastAsia="Times New Roman" w:hAnsi="Times New Roman" w:cs="Times New Roman"/>
          <w:sz w:val="24"/>
          <w:szCs w:val="24"/>
        </w:rPr>
        <w:t xml:space="preserve"> dividing </w:t>
      </w:r>
      <w:r w:rsidR="28BFEC4B" w:rsidRPr="00E204F6">
        <w:rPr>
          <w:rFonts w:ascii="Times New Roman" w:eastAsia="Times New Roman" w:hAnsi="Times New Roman" w:cs="Times New Roman"/>
          <w:sz w:val="24"/>
          <w:szCs w:val="24"/>
        </w:rPr>
        <w:t xml:space="preserve">this value </w:t>
      </w:r>
      <w:r w:rsidR="7AAE979F" w:rsidRPr="00E204F6">
        <w:rPr>
          <w:rFonts w:ascii="Times New Roman" w:eastAsia="Times New Roman" w:hAnsi="Times New Roman" w:cs="Times New Roman"/>
          <w:sz w:val="24"/>
          <w:szCs w:val="24"/>
        </w:rPr>
        <w:t>by the cohort size.</w:t>
      </w:r>
    </w:p>
    <w:p w14:paraId="45EF989E" w14:textId="77DED83E" w:rsidR="5B896FBD" w:rsidRPr="00E204F6" w:rsidRDefault="78531C57" w:rsidP="76C0B922">
      <w:pPr>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To account for differences in health-related quality of life (HRQoL) between health states</w:t>
      </w:r>
      <w:r w:rsidR="3D0578E4" w:rsidRPr="00E204F6">
        <w:rPr>
          <w:rFonts w:ascii="Times New Roman" w:eastAsia="Times New Roman" w:hAnsi="Times New Roman" w:cs="Times New Roman"/>
          <w:sz w:val="24"/>
          <w:szCs w:val="24"/>
        </w:rPr>
        <w:t xml:space="preserve"> and across cycles</w:t>
      </w:r>
      <w:r w:rsidRPr="00E204F6">
        <w:rPr>
          <w:rFonts w:ascii="Times New Roman" w:eastAsia="Times New Roman" w:hAnsi="Times New Roman" w:cs="Times New Roman"/>
          <w:sz w:val="24"/>
          <w:szCs w:val="24"/>
        </w:rPr>
        <w:t>, LYs were converted to QALYs by applying utility weights. A utility value represents a patient's quality of life on a scale from 0 (death) to 1 (perfect health). QALYs were calculated by multiplying the LYs a</w:t>
      </w:r>
      <w:r w:rsidR="064FCF65" w:rsidRPr="00E204F6">
        <w:rPr>
          <w:rFonts w:ascii="Times New Roman" w:eastAsia="Times New Roman" w:hAnsi="Times New Roman" w:cs="Times New Roman"/>
          <w:sz w:val="24"/>
          <w:szCs w:val="24"/>
        </w:rPr>
        <w:t>ccrued in each health state during a given cycle by the utility value assigned to</w:t>
      </w:r>
      <w:r w:rsidR="27863B70" w:rsidRPr="00E204F6">
        <w:rPr>
          <w:rFonts w:ascii="Times New Roman" w:eastAsia="Times New Roman" w:hAnsi="Times New Roman" w:cs="Times New Roman"/>
          <w:sz w:val="24"/>
          <w:szCs w:val="24"/>
        </w:rPr>
        <w:t xml:space="preserve"> </w:t>
      </w:r>
      <w:r w:rsidR="064FCF65" w:rsidRPr="00E204F6">
        <w:rPr>
          <w:rFonts w:ascii="Times New Roman" w:eastAsia="Times New Roman" w:hAnsi="Times New Roman" w:cs="Times New Roman"/>
          <w:sz w:val="24"/>
          <w:szCs w:val="24"/>
        </w:rPr>
        <w:t xml:space="preserve">that state and cycle. HRQoL data was not </w:t>
      </w:r>
      <w:r w:rsidR="6CAB2905" w:rsidRPr="00E204F6">
        <w:rPr>
          <w:rFonts w:ascii="Times New Roman" w:eastAsia="Times New Roman" w:hAnsi="Times New Roman" w:cs="Times New Roman"/>
          <w:sz w:val="24"/>
          <w:szCs w:val="24"/>
        </w:rPr>
        <w:t xml:space="preserve">collected in the pivotal TROPIC trial (De Bono et al., 2010). Utility values were therefore obtained from the UK Early Access Programme (EAP) for </w:t>
      </w:r>
      <w:r w:rsidR="77EA56D4" w:rsidRPr="00E204F6">
        <w:rPr>
          <w:rFonts w:ascii="Times New Roman" w:eastAsia="Times New Roman" w:hAnsi="Times New Roman" w:cs="Times New Roman"/>
          <w:sz w:val="24"/>
          <w:szCs w:val="24"/>
        </w:rPr>
        <w:t>Cabazitaxel</w:t>
      </w:r>
      <w:r w:rsidR="6CAB2905" w:rsidRPr="00E204F6">
        <w:rPr>
          <w:rFonts w:ascii="Times New Roman" w:eastAsia="Times New Roman" w:hAnsi="Times New Roman" w:cs="Times New Roman"/>
          <w:sz w:val="24"/>
          <w:szCs w:val="24"/>
        </w:rPr>
        <w:t xml:space="preserve">. The EAP was a phase IIIB/IV open-label study </w:t>
      </w:r>
      <w:r w:rsidR="0C0AA3D2" w:rsidRPr="00E204F6">
        <w:rPr>
          <w:rFonts w:ascii="Times New Roman" w:eastAsia="Times New Roman" w:hAnsi="Times New Roman" w:cs="Times New Roman"/>
          <w:sz w:val="24"/>
          <w:szCs w:val="24"/>
        </w:rPr>
        <w:t xml:space="preserve">(NCT01254279) conducted across 12 UK cancer centres, enrolling 112 patients with </w:t>
      </w:r>
      <w:proofErr w:type="spellStart"/>
      <w:r w:rsidR="0C0AA3D2" w:rsidRPr="00E204F6">
        <w:rPr>
          <w:rFonts w:ascii="Times New Roman" w:eastAsia="Times New Roman" w:hAnsi="Times New Roman" w:cs="Times New Roman"/>
          <w:sz w:val="24"/>
          <w:szCs w:val="24"/>
        </w:rPr>
        <w:t>mCRPC</w:t>
      </w:r>
      <w:proofErr w:type="spellEnd"/>
      <w:r w:rsidR="0C0AA3D2" w:rsidRPr="00E204F6">
        <w:rPr>
          <w:rFonts w:ascii="Times New Roman" w:eastAsia="Times New Roman" w:hAnsi="Times New Roman" w:cs="Times New Roman"/>
          <w:sz w:val="24"/>
          <w:szCs w:val="24"/>
        </w:rPr>
        <w:t xml:space="preserve"> who had progressed on or after docetaxel (Bahl et al., 2015). EQ-5D-3L data was collected at baseline and at alternate treatment cycles (before cycles 2, 4, 6, 8) as well as at the end of treatment. EQ-5D-3L responses were converted to a single utility index using the UK general population value set (Dolan et al., 1995).</w:t>
      </w:r>
    </w:p>
    <w:p w14:paraId="54D9B1AC" w14:textId="59AAA722" w:rsidR="57ABD692" w:rsidRPr="00E204F6" w:rsidRDefault="0C0AA3D2" w:rsidP="6FB1C763">
      <w:pPr>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These utility values were adopted in the </w:t>
      </w:r>
      <w:r w:rsidR="10480338" w:rsidRPr="00E204F6">
        <w:rPr>
          <w:rFonts w:ascii="Times New Roman" w:eastAsia="Times New Roman" w:hAnsi="Times New Roman" w:cs="Times New Roman"/>
          <w:sz w:val="24"/>
          <w:szCs w:val="24"/>
        </w:rPr>
        <w:t xml:space="preserve">NICE technology appraisal TA391 for </w:t>
      </w:r>
      <w:r w:rsidR="77EA56D4" w:rsidRPr="00E204F6">
        <w:rPr>
          <w:rFonts w:ascii="Times New Roman" w:eastAsia="Times New Roman" w:hAnsi="Times New Roman" w:cs="Times New Roman"/>
          <w:sz w:val="24"/>
          <w:szCs w:val="24"/>
        </w:rPr>
        <w:t>Cabazitaxel</w:t>
      </w:r>
      <w:r w:rsidR="10480338" w:rsidRPr="00E204F6">
        <w:rPr>
          <w:rFonts w:ascii="Times New Roman" w:eastAsia="Times New Roman" w:hAnsi="Times New Roman" w:cs="Times New Roman"/>
          <w:sz w:val="24"/>
          <w:szCs w:val="24"/>
        </w:rPr>
        <w:t xml:space="preserve"> (NICE, 2016a) and are used in our model. The specific values were taken from </w:t>
      </w:r>
      <w:r w:rsidR="3A510701" w:rsidRPr="00E204F6">
        <w:rPr>
          <w:rFonts w:ascii="Times New Roman" w:eastAsia="Times New Roman" w:hAnsi="Times New Roman" w:cs="Times New Roman"/>
          <w:sz w:val="24"/>
          <w:szCs w:val="24"/>
        </w:rPr>
        <w:t>Table</w:t>
      </w:r>
      <w:r w:rsidR="10480338" w:rsidRPr="00E204F6">
        <w:rPr>
          <w:rFonts w:ascii="Times New Roman" w:eastAsia="Times New Roman" w:hAnsi="Times New Roman" w:cs="Times New Roman"/>
          <w:sz w:val="24"/>
          <w:szCs w:val="24"/>
        </w:rPr>
        <w:t xml:space="preserve"> 10 of the NICE TA391 pre-meeting briefing document, which is part of the publicly available committee papers for TA391 (</w:t>
      </w:r>
      <w:r w:rsidR="1E710081" w:rsidRPr="00E204F6">
        <w:rPr>
          <w:rFonts w:ascii="Times New Roman" w:eastAsia="Times New Roman" w:hAnsi="Times New Roman" w:cs="Times New Roman"/>
          <w:sz w:val="24"/>
          <w:szCs w:val="24"/>
        </w:rPr>
        <w:t>NICE, 2016b). This document summarises the evidence submitted by the manufacturer (Sanofi) and the assessment by the independent Evidence Review Group (ERG), providing the data inputs used in the economic model.</w:t>
      </w:r>
    </w:p>
    <w:p w14:paraId="42A9D8DC" w14:textId="4DBFB794" w:rsidR="7F28E6ED" w:rsidRPr="00E204F6" w:rsidRDefault="6AF3C677" w:rsidP="76C0B922">
      <w:pPr>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For </w:t>
      </w:r>
      <w:r w:rsidR="7ED7FBED" w:rsidRPr="00E204F6">
        <w:rPr>
          <w:rFonts w:ascii="Times New Roman" w:eastAsia="Times New Roman" w:hAnsi="Times New Roman" w:cs="Times New Roman"/>
          <w:sz w:val="24"/>
          <w:szCs w:val="24"/>
        </w:rPr>
        <w:t>SD</w:t>
      </w:r>
      <w:r w:rsidRPr="00E204F6">
        <w:rPr>
          <w:rFonts w:ascii="Times New Roman" w:eastAsia="Times New Roman" w:hAnsi="Times New Roman" w:cs="Times New Roman"/>
          <w:sz w:val="24"/>
          <w:szCs w:val="24"/>
        </w:rPr>
        <w:t>, cycle-specific utility values were applied, reflecting an observed trend of improving HRQoL with successive treatment cycles (</w:t>
      </w:r>
      <w:r w:rsidR="3A510701" w:rsidRPr="00E204F6">
        <w:rPr>
          <w:rFonts w:ascii="Times New Roman" w:eastAsia="Times New Roman" w:hAnsi="Times New Roman" w:cs="Times New Roman"/>
          <w:sz w:val="24"/>
          <w:szCs w:val="24"/>
        </w:rPr>
        <w:t>Table</w:t>
      </w:r>
      <w:r w:rsidRPr="00E204F6">
        <w:rPr>
          <w:rFonts w:ascii="Times New Roman" w:eastAsia="Times New Roman" w:hAnsi="Times New Roman" w:cs="Times New Roman"/>
          <w:sz w:val="24"/>
          <w:szCs w:val="24"/>
        </w:rPr>
        <w:t xml:space="preserve"> </w:t>
      </w:r>
      <w:r w:rsidR="6713FC75" w:rsidRPr="00E204F6">
        <w:rPr>
          <w:rFonts w:ascii="Times New Roman" w:eastAsia="Times New Roman" w:hAnsi="Times New Roman" w:cs="Times New Roman"/>
          <w:sz w:val="24"/>
          <w:szCs w:val="24"/>
        </w:rPr>
        <w:t>2</w:t>
      </w:r>
      <w:r w:rsidRPr="00E204F6">
        <w:rPr>
          <w:rFonts w:ascii="Times New Roman" w:eastAsia="Times New Roman" w:hAnsi="Times New Roman" w:cs="Times New Roman"/>
          <w:sz w:val="24"/>
          <w:szCs w:val="24"/>
        </w:rPr>
        <w:t xml:space="preserve">). These ranged from 0.704 in cycle 1 to 0.819 from cycle 10 onwards. For the </w:t>
      </w:r>
      <w:r w:rsidR="56780AF7" w:rsidRPr="00E204F6">
        <w:rPr>
          <w:rFonts w:ascii="Times New Roman" w:eastAsia="Times New Roman" w:hAnsi="Times New Roman" w:cs="Times New Roman"/>
          <w:sz w:val="24"/>
          <w:szCs w:val="24"/>
        </w:rPr>
        <w:t>PD</w:t>
      </w:r>
      <w:r w:rsidRPr="00E204F6">
        <w:rPr>
          <w:rFonts w:ascii="Times New Roman" w:eastAsia="Times New Roman" w:hAnsi="Times New Roman" w:cs="Times New Roman"/>
          <w:sz w:val="24"/>
          <w:szCs w:val="24"/>
        </w:rPr>
        <w:t xml:space="preserve"> health state, a constant utility of 0</w:t>
      </w:r>
      <w:r w:rsidR="236E7E8B" w:rsidRPr="00E204F6">
        <w:rPr>
          <w:rFonts w:ascii="Times New Roman" w:eastAsia="Times New Roman" w:hAnsi="Times New Roman" w:cs="Times New Roman"/>
          <w:sz w:val="24"/>
          <w:szCs w:val="24"/>
        </w:rPr>
        <w:t xml:space="preserve">.627 was applied. This value was measured using the EQ-5D-3L questionnaire in patients whose cancer had progressed despite </w:t>
      </w:r>
      <w:r w:rsidR="77EA56D4" w:rsidRPr="00E204F6">
        <w:rPr>
          <w:rFonts w:ascii="Times New Roman" w:eastAsia="Times New Roman" w:hAnsi="Times New Roman" w:cs="Times New Roman"/>
          <w:sz w:val="24"/>
          <w:szCs w:val="24"/>
        </w:rPr>
        <w:t>Cabazitaxel</w:t>
      </w:r>
      <w:r w:rsidR="236E7E8B" w:rsidRPr="00E204F6">
        <w:rPr>
          <w:rFonts w:ascii="Times New Roman" w:eastAsia="Times New Roman" w:hAnsi="Times New Roman" w:cs="Times New Roman"/>
          <w:sz w:val="24"/>
          <w:szCs w:val="24"/>
        </w:rPr>
        <w:t xml:space="preserve"> treatment, assessed 30 days after their final </w:t>
      </w:r>
      <w:r w:rsidR="77EA56D4" w:rsidRPr="00E204F6">
        <w:rPr>
          <w:rFonts w:ascii="Times New Roman" w:eastAsia="Times New Roman" w:hAnsi="Times New Roman" w:cs="Times New Roman"/>
          <w:sz w:val="24"/>
          <w:szCs w:val="24"/>
        </w:rPr>
        <w:t>Cabazitaxel</w:t>
      </w:r>
      <w:r w:rsidR="236E7E8B" w:rsidRPr="00E204F6">
        <w:rPr>
          <w:rFonts w:ascii="Times New Roman" w:eastAsia="Times New Roman" w:hAnsi="Times New Roman" w:cs="Times New Roman"/>
          <w:sz w:val="24"/>
          <w:szCs w:val="24"/>
        </w:rPr>
        <w:t xml:space="preserve"> cycle (Bahl et al., 2015; NICE, 2016b). The dead state was assigned a utility </w:t>
      </w:r>
      <w:r w:rsidR="5D096A0B" w:rsidRPr="00E204F6">
        <w:rPr>
          <w:rFonts w:ascii="Times New Roman" w:eastAsia="Times New Roman" w:hAnsi="Times New Roman" w:cs="Times New Roman"/>
          <w:sz w:val="24"/>
          <w:szCs w:val="24"/>
        </w:rPr>
        <w:t xml:space="preserve">of zero, meaning it does not contribute to the QALY calculation. It should be noted that in the NICE TA391 appraisal, the manufacturers assumed a utility of zero in the final three months of life, reflecting that patients nearing death are typically in very poor health (NICE, 2016b). This adjustment </w:t>
      </w:r>
      <w:r w:rsidR="5FCF9B4A" w:rsidRPr="00E204F6">
        <w:rPr>
          <w:rFonts w:ascii="Times New Roman" w:eastAsia="Times New Roman" w:hAnsi="Times New Roman" w:cs="Times New Roman"/>
          <w:sz w:val="24"/>
          <w:szCs w:val="24"/>
        </w:rPr>
        <w:t>was not incorporated in our model.</w:t>
      </w:r>
    </w:p>
    <w:p w14:paraId="3FA9B965" w14:textId="76F4B648" w:rsidR="1255CD04" w:rsidRPr="00E204F6" w:rsidRDefault="5FCF9B4A" w:rsidP="6FB1C763">
      <w:pPr>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The same utility values were used for both treatment arms, as there was no reason to expect HRQoL to differ between </w:t>
      </w:r>
      <w:r w:rsidR="77EA56D4" w:rsidRPr="00E204F6">
        <w:rPr>
          <w:rFonts w:ascii="Times New Roman" w:eastAsia="Times New Roman" w:hAnsi="Times New Roman" w:cs="Times New Roman"/>
          <w:sz w:val="24"/>
          <w:szCs w:val="24"/>
        </w:rPr>
        <w:t>Cabazitaxel</w:t>
      </w:r>
      <w:r w:rsidRPr="00E204F6">
        <w:rPr>
          <w:rFonts w:ascii="Times New Roman" w:eastAsia="Times New Roman" w:hAnsi="Times New Roman" w:cs="Times New Roman"/>
          <w:sz w:val="24"/>
          <w:szCs w:val="24"/>
        </w:rPr>
        <w:t xml:space="preserve"> and </w:t>
      </w:r>
      <w:r w:rsidR="2E1C6553" w:rsidRPr="00E204F6">
        <w:rPr>
          <w:rFonts w:ascii="Times New Roman" w:eastAsia="Times New Roman" w:hAnsi="Times New Roman" w:cs="Times New Roman"/>
          <w:sz w:val="24"/>
          <w:szCs w:val="24"/>
        </w:rPr>
        <w:t>Mitoxantrone</w:t>
      </w:r>
      <w:r w:rsidRPr="00E204F6">
        <w:rPr>
          <w:rFonts w:ascii="Times New Roman" w:eastAsia="Times New Roman" w:hAnsi="Times New Roman" w:cs="Times New Roman"/>
          <w:sz w:val="24"/>
          <w:szCs w:val="24"/>
        </w:rPr>
        <w:t xml:space="preserve"> for a given disease state. This </w:t>
      </w:r>
      <w:r w:rsidRPr="00E204F6">
        <w:rPr>
          <w:rFonts w:ascii="Times New Roman" w:eastAsia="Times New Roman" w:hAnsi="Times New Roman" w:cs="Times New Roman"/>
          <w:sz w:val="24"/>
          <w:szCs w:val="24"/>
        </w:rPr>
        <w:lastRenderedPageBreak/>
        <w:t xml:space="preserve">approach is consistent with the NICE reference case, which recommends using health state-specific rather than </w:t>
      </w:r>
      <w:r w:rsidR="03BEF3B4" w:rsidRPr="00E204F6">
        <w:rPr>
          <w:rFonts w:ascii="Times New Roman" w:eastAsia="Times New Roman" w:hAnsi="Times New Roman" w:cs="Times New Roman"/>
          <w:sz w:val="24"/>
          <w:szCs w:val="24"/>
        </w:rPr>
        <w:t>treatment</w:t>
      </w:r>
      <w:r w:rsidRPr="00E204F6">
        <w:rPr>
          <w:rFonts w:ascii="Times New Roman" w:eastAsia="Times New Roman" w:hAnsi="Times New Roman" w:cs="Times New Roman"/>
          <w:sz w:val="24"/>
          <w:szCs w:val="24"/>
        </w:rPr>
        <w:t>-specific utilities (NICE,2013).</w:t>
      </w:r>
    </w:p>
    <w:p w14:paraId="37042533" w14:textId="53399574" w:rsidR="21ABD580" w:rsidRPr="00E204F6" w:rsidRDefault="3A510701" w:rsidP="6FB1C763">
      <w:pPr>
        <w:rPr>
          <w:rFonts w:ascii="Times New Roman" w:eastAsia="Times New Roman" w:hAnsi="Times New Roman" w:cs="Times New Roman"/>
          <w:sz w:val="24"/>
          <w:szCs w:val="24"/>
        </w:rPr>
      </w:pPr>
      <w:r w:rsidRPr="00E204F6">
        <w:rPr>
          <w:rFonts w:ascii="Times New Roman" w:eastAsia="Times New Roman" w:hAnsi="Times New Roman" w:cs="Times New Roman"/>
          <w:b/>
          <w:bCs/>
          <w:sz w:val="24"/>
          <w:szCs w:val="24"/>
        </w:rPr>
        <w:t>Table</w:t>
      </w:r>
      <w:r w:rsidR="19039F15" w:rsidRPr="00E204F6">
        <w:rPr>
          <w:rFonts w:ascii="Times New Roman" w:eastAsia="Times New Roman" w:hAnsi="Times New Roman" w:cs="Times New Roman"/>
          <w:b/>
          <w:bCs/>
          <w:sz w:val="24"/>
          <w:szCs w:val="24"/>
        </w:rPr>
        <w:t xml:space="preserve"> </w:t>
      </w:r>
      <w:r w:rsidR="72885F00" w:rsidRPr="00E204F6">
        <w:rPr>
          <w:rFonts w:ascii="Times New Roman" w:eastAsia="Times New Roman" w:hAnsi="Times New Roman" w:cs="Times New Roman"/>
          <w:b/>
          <w:bCs/>
          <w:sz w:val="24"/>
          <w:szCs w:val="24"/>
        </w:rPr>
        <w:t>2</w:t>
      </w:r>
      <w:r w:rsidR="19039F15" w:rsidRPr="00E204F6">
        <w:rPr>
          <w:rFonts w:ascii="Times New Roman" w:eastAsia="Times New Roman" w:hAnsi="Times New Roman" w:cs="Times New Roman"/>
          <w:b/>
          <w:bCs/>
          <w:sz w:val="24"/>
          <w:szCs w:val="24"/>
        </w:rPr>
        <w:t>.</w:t>
      </w:r>
      <w:r w:rsidR="19039F15" w:rsidRPr="00E204F6">
        <w:rPr>
          <w:rFonts w:ascii="Times New Roman" w:eastAsia="Times New Roman" w:hAnsi="Times New Roman" w:cs="Times New Roman"/>
          <w:sz w:val="24"/>
          <w:szCs w:val="24"/>
        </w:rPr>
        <w:t xml:space="preserve"> Utility values used in the economic model, by health state and treatment cycle. </w:t>
      </w:r>
    </w:p>
    <w:p w14:paraId="79C851B6" w14:textId="77777777" w:rsidR="008C4C28" w:rsidRDefault="008C4C28" w:rsidP="6FB1C763">
      <w:pPr>
        <w:rPr>
          <w:rFonts w:ascii="Times New Roman" w:eastAsia="Times New Roman" w:hAnsi="Times New Roman" w:cs="Times New Roman"/>
          <w:sz w:val="24"/>
          <w:szCs w:val="24"/>
        </w:rPr>
      </w:pPr>
      <w:r w:rsidRPr="008C4C28">
        <w:rPr>
          <w:rFonts w:ascii="Times New Roman" w:eastAsia="Times New Roman" w:hAnsi="Times New Roman" w:cs="Times New Roman"/>
          <w:noProof/>
          <w:sz w:val="24"/>
          <w:szCs w:val="24"/>
        </w:rPr>
        <w:drawing>
          <wp:inline distT="0" distB="0" distL="0" distR="0" wp14:anchorId="04EA85A5" wp14:editId="4CD8F9AE">
            <wp:extent cx="5493434" cy="5169472"/>
            <wp:effectExtent l="0" t="0" r="0" b="0"/>
            <wp:docPr id="1812048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048510" name=""/>
                    <pic:cNvPicPr/>
                  </pic:nvPicPr>
                  <pic:blipFill>
                    <a:blip r:embed="rId12"/>
                    <a:stretch>
                      <a:fillRect/>
                    </a:stretch>
                  </pic:blipFill>
                  <pic:spPr>
                    <a:xfrm>
                      <a:off x="0" y="0"/>
                      <a:ext cx="5495472" cy="5171390"/>
                    </a:xfrm>
                    <a:prstGeom prst="rect">
                      <a:avLst/>
                    </a:prstGeom>
                  </pic:spPr>
                </pic:pic>
              </a:graphicData>
            </a:graphic>
          </wp:inline>
        </w:drawing>
      </w:r>
    </w:p>
    <w:p w14:paraId="314ECADD" w14:textId="5B80DDC2" w:rsidR="21ABD580" w:rsidRPr="00E204F6" w:rsidRDefault="19039F15" w:rsidP="6FB1C763">
      <w:pPr>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To illustrate how LYs and QALYs are derived in the model, consider cycle 4 of the </w:t>
      </w:r>
      <w:r w:rsidR="77EA56D4" w:rsidRPr="00E204F6">
        <w:rPr>
          <w:rFonts w:ascii="Times New Roman" w:eastAsia="Times New Roman" w:hAnsi="Times New Roman" w:cs="Times New Roman"/>
          <w:sz w:val="24"/>
          <w:szCs w:val="24"/>
        </w:rPr>
        <w:t>Cabazitaxel</w:t>
      </w:r>
      <w:r w:rsidRPr="00E204F6">
        <w:rPr>
          <w:rFonts w:ascii="Times New Roman" w:eastAsia="Times New Roman" w:hAnsi="Times New Roman" w:cs="Times New Roman"/>
          <w:sz w:val="24"/>
          <w:szCs w:val="24"/>
        </w:rPr>
        <w:t xml:space="preserve"> arm. After half-cycle correction, 554.7</w:t>
      </w:r>
      <w:r w:rsidR="67DB019B" w:rsidRPr="00E204F6">
        <w:rPr>
          <w:rFonts w:ascii="Times New Roman" w:eastAsia="Times New Roman" w:hAnsi="Times New Roman" w:cs="Times New Roman"/>
          <w:sz w:val="24"/>
          <w:szCs w:val="24"/>
        </w:rPr>
        <w:t xml:space="preserve"> out of 1,000 patients are in the </w:t>
      </w:r>
      <w:r w:rsidR="5D78FB84" w:rsidRPr="00E204F6">
        <w:rPr>
          <w:rFonts w:ascii="Times New Roman" w:eastAsia="Times New Roman" w:hAnsi="Times New Roman" w:cs="Times New Roman"/>
          <w:sz w:val="24"/>
          <w:szCs w:val="24"/>
        </w:rPr>
        <w:t>SD</w:t>
      </w:r>
      <w:r w:rsidR="67DB019B" w:rsidRPr="00E204F6">
        <w:rPr>
          <w:rFonts w:ascii="Times New Roman" w:eastAsia="Times New Roman" w:hAnsi="Times New Roman" w:cs="Times New Roman"/>
          <w:sz w:val="24"/>
          <w:szCs w:val="24"/>
        </w:rPr>
        <w:t xml:space="preserve"> state. </w:t>
      </w:r>
      <w:r w:rsidR="0A67B7DD" w:rsidRPr="00E204F6">
        <w:rPr>
          <w:rFonts w:ascii="Times New Roman" w:eastAsia="Times New Roman" w:hAnsi="Times New Roman" w:cs="Times New Roman"/>
          <w:sz w:val="24"/>
          <w:szCs w:val="24"/>
        </w:rPr>
        <w:t xml:space="preserve">The LYs accrued in </w:t>
      </w:r>
      <w:r w:rsidR="5E257926" w:rsidRPr="00E204F6">
        <w:rPr>
          <w:rFonts w:ascii="Times New Roman" w:eastAsia="Times New Roman" w:hAnsi="Times New Roman" w:cs="Times New Roman"/>
          <w:sz w:val="24"/>
          <w:szCs w:val="24"/>
        </w:rPr>
        <w:t>SD</w:t>
      </w:r>
      <w:r w:rsidR="0A67B7DD" w:rsidRPr="00E204F6">
        <w:rPr>
          <w:rFonts w:ascii="Times New Roman" w:eastAsia="Times New Roman" w:hAnsi="Times New Roman" w:cs="Times New Roman"/>
          <w:sz w:val="24"/>
          <w:szCs w:val="24"/>
        </w:rPr>
        <w:t xml:space="preserve"> during this cycle are: 554.7</w:t>
      </w:r>
      <w:r w:rsidR="7CBFE1AE" w:rsidRPr="00E204F6">
        <w:rPr>
          <w:rFonts w:ascii="Times New Roman" w:eastAsia="Times New Roman" w:hAnsi="Times New Roman" w:cs="Times New Roman"/>
          <w:sz w:val="24"/>
          <w:szCs w:val="24"/>
        </w:rPr>
        <w:t xml:space="preserve"> </w:t>
      </w:r>
      <w:r w:rsidR="0A67B7DD" w:rsidRPr="00E204F6">
        <w:rPr>
          <w:rFonts w:ascii="Times New Roman" w:eastAsia="Times New Roman" w:hAnsi="Times New Roman" w:cs="Times New Roman"/>
          <w:sz w:val="24"/>
          <w:szCs w:val="24"/>
        </w:rPr>
        <w:t>x (3/52) = 32</w:t>
      </w:r>
      <w:r w:rsidR="06A44B3B" w:rsidRPr="00E204F6">
        <w:rPr>
          <w:rFonts w:ascii="Times New Roman" w:eastAsia="Times New Roman" w:hAnsi="Times New Roman" w:cs="Times New Roman"/>
          <w:sz w:val="24"/>
          <w:szCs w:val="24"/>
        </w:rPr>
        <w:t>.00</w:t>
      </w:r>
      <w:r w:rsidR="0A67B7DD" w:rsidRPr="00E204F6">
        <w:rPr>
          <w:rFonts w:ascii="Times New Roman" w:eastAsia="Times New Roman" w:hAnsi="Times New Roman" w:cs="Times New Roman"/>
          <w:sz w:val="24"/>
          <w:szCs w:val="24"/>
        </w:rPr>
        <w:t xml:space="preserve"> LYs. The corresponding QALYs are: 554.7 x (3/52) x 0.750</w:t>
      </w:r>
      <w:r w:rsidR="5F897C8F" w:rsidRPr="00E204F6">
        <w:rPr>
          <w:rFonts w:ascii="Times New Roman" w:eastAsia="Times New Roman" w:hAnsi="Times New Roman" w:cs="Times New Roman"/>
          <w:sz w:val="24"/>
          <w:szCs w:val="24"/>
        </w:rPr>
        <w:t xml:space="preserve"> (the</w:t>
      </w:r>
      <w:r w:rsidR="3FE1023E" w:rsidRPr="00E204F6">
        <w:rPr>
          <w:rFonts w:ascii="Times New Roman" w:eastAsia="Times New Roman" w:hAnsi="Times New Roman" w:cs="Times New Roman"/>
          <w:sz w:val="24"/>
          <w:szCs w:val="24"/>
        </w:rPr>
        <w:t xml:space="preserve"> utility assigned to </w:t>
      </w:r>
      <w:r w:rsidR="660C7C3C" w:rsidRPr="00E204F6">
        <w:rPr>
          <w:rFonts w:ascii="Times New Roman" w:eastAsia="Times New Roman" w:hAnsi="Times New Roman" w:cs="Times New Roman"/>
          <w:sz w:val="24"/>
          <w:szCs w:val="24"/>
        </w:rPr>
        <w:t xml:space="preserve">SD </w:t>
      </w:r>
      <w:r w:rsidR="3FE1023E" w:rsidRPr="00E204F6">
        <w:rPr>
          <w:rFonts w:ascii="Times New Roman" w:eastAsia="Times New Roman" w:hAnsi="Times New Roman" w:cs="Times New Roman"/>
          <w:sz w:val="24"/>
          <w:szCs w:val="24"/>
        </w:rPr>
        <w:t>at cycle 4) = 24</w:t>
      </w:r>
      <w:r w:rsidR="621C4AF7" w:rsidRPr="00E204F6">
        <w:rPr>
          <w:rFonts w:ascii="Times New Roman" w:eastAsia="Times New Roman" w:hAnsi="Times New Roman" w:cs="Times New Roman"/>
          <w:sz w:val="24"/>
          <w:szCs w:val="24"/>
        </w:rPr>
        <w:t>.00</w:t>
      </w:r>
      <w:r w:rsidR="3FE1023E" w:rsidRPr="00E204F6">
        <w:rPr>
          <w:rFonts w:ascii="Times New Roman" w:eastAsia="Times New Roman" w:hAnsi="Times New Roman" w:cs="Times New Roman"/>
          <w:sz w:val="24"/>
          <w:szCs w:val="24"/>
        </w:rPr>
        <w:t xml:space="preserve"> QALYs. The same calculation was performed for the </w:t>
      </w:r>
      <w:r w:rsidR="4CD58AEE" w:rsidRPr="00E204F6">
        <w:rPr>
          <w:rFonts w:ascii="Times New Roman" w:eastAsia="Times New Roman" w:hAnsi="Times New Roman" w:cs="Times New Roman"/>
          <w:sz w:val="24"/>
          <w:szCs w:val="24"/>
        </w:rPr>
        <w:t>PD</w:t>
      </w:r>
      <w:r w:rsidR="3FE1023E" w:rsidRPr="00E204F6">
        <w:rPr>
          <w:rFonts w:ascii="Times New Roman" w:eastAsia="Times New Roman" w:hAnsi="Times New Roman" w:cs="Times New Roman"/>
          <w:sz w:val="24"/>
          <w:szCs w:val="24"/>
        </w:rPr>
        <w:t xml:space="preserve"> health state using the utility of 0.627. These calculations were repeated for each health state and each model cycle, excluding the dead state which has a u</w:t>
      </w:r>
      <w:r w:rsidR="030FF9AF" w:rsidRPr="00E204F6">
        <w:rPr>
          <w:rFonts w:ascii="Times New Roman" w:eastAsia="Times New Roman" w:hAnsi="Times New Roman" w:cs="Times New Roman"/>
          <w:sz w:val="24"/>
          <w:szCs w:val="24"/>
        </w:rPr>
        <w:t>tility of zero. Both LYs and QALYs were discounted at an annual rate of 3.5%, in accordance with NICE</w:t>
      </w:r>
      <w:r w:rsidR="273F584C" w:rsidRPr="00E204F6">
        <w:rPr>
          <w:rFonts w:ascii="Times New Roman" w:eastAsia="Times New Roman" w:hAnsi="Times New Roman" w:cs="Times New Roman"/>
          <w:sz w:val="24"/>
          <w:szCs w:val="24"/>
        </w:rPr>
        <w:t>'s</w:t>
      </w:r>
      <w:r w:rsidR="030FF9AF" w:rsidRPr="00E204F6">
        <w:rPr>
          <w:rFonts w:ascii="Times New Roman" w:eastAsia="Times New Roman" w:hAnsi="Times New Roman" w:cs="Times New Roman"/>
          <w:sz w:val="24"/>
          <w:szCs w:val="24"/>
        </w:rPr>
        <w:t xml:space="preserve"> methodological guidance (NICE, 2013)</w:t>
      </w:r>
      <w:r w:rsidR="5EE60E62" w:rsidRPr="00E204F6">
        <w:rPr>
          <w:rFonts w:ascii="Times New Roman" w:eastAsia="Times New Roman" w:hAnsi="Times New Roman" w:cs="Times New Roman"/>
          <w:sz w:val="24"/>
          <w:szCs w:val="24"/>
        </w:rPr>
        <w:t>. Total discounted LYs and QALYs were then obtained by summing across both health state</w:t>
      </w:r>
      <w:r w:rsidR="7E6096FF" w:rsidRPr="00E204F6">
        <w:rPr>
          <w:rFonts w:ascii="Times New Roman" w:eastAsia="Times New Roman" w:hAnsi="Times New Roman" w:cs="Times New Roman"/>
          <w:sz w:val="24"/>
          <w:szCs w:val="24"/>
        </w:rPr>
        <w:t>s</w:t>
      </w:r>
      <w:r w:rsidR="5EE60E62" w:rsidRPr="00E204F6">
        <w:rPr>
          <w:rFonts w:ascii="Times New Roman" w:eastAsia="Times New Roman" w:hAnsi="Times New Roman" w:cs="Times New Roman"/>
          <w:sz w:val="24"/>
          <w:szCs w:val="24"/>
        </w:rPr>
        <w:t xml:space="preserve"> and all </w:t>
      </w:r>
      <w:r w:rsidR="36DCCD28" w:rsidRPr="00E204F6">
        <w:rPr>
          <w:rFonts w:ascii="Times New Roman" w:eastAsia="Times New Roman" w:hAnsi="Times New Roman" w:cs="Times New Roman"/>
          <w:sz w:val="24"/>
          <w:szCs w:val="24"/>
        </w:rPr>
        <w:t>cycles and</w:t>
      </w:r>
      <w:r w:rsidR="5EE60E62" w:rsidRPr="00E204F6">
        <w:rPr>
          <w:rFonts w:ascii="Times New Roman" w:eastAsia="Times New Roman" w:hAnsi="Times New Roman" w:cs="Times New Roman"/>
          <w:sz w:val="24"/>
          <w:szCs w:val="24"/>
        </w:rPr>
        <w:t xml:space="preserve"> dividing </w:t>
      </w:r>
      <w:r w:rsidR="2C33A7DD" w:rsidRPr="00E204F6">
        <w:rPr>
          <w:rFonts w:ascii="Times New Roman" w:eastAsia="Times New Roman" w:hAnsi="Times New Roman" w:cs="Times New Roman"/>
          <w:sz w:val="24"/>
          <w:szCs w:val="24"/>
        </w:rPr>
        <w:t xml:space="preserve">this value </w:t>
      </w:r>
      <w:r w:rsidR="5EE60E62" w:rsidRPr="00E204F6">
        <w:rPr>
          <w:rFonts w:ascii="Times New Roman" w:eastAsia="Times New Roman" w:hAnsi="Times New Roman" w:cs="Times New Roman"/>
          <w:sz w:val="24"/>
          <w:szCs w:val="24"/>
        </w:rPr>
        <w:t xml:space="preserve">by the cohort size to obtain mean values per patient. The incremental LYs and QALYs were calculated as the difference between the </w:t>
      </w:r>
      <w:r w:rsidR="77EA56D4" w:rsidRPr="00E204F6">
        <w:rPr>
          <w:rFonts w:ascii="Times New Roman" w:eastAsia="Times New Roman" w:hAnsi="Times New Roman" w:cs="Times New Roman"/>
          <w:sz w:val="24"/>
          <w:szCs w:val="24"/>
        </w:rPr>
        <w:t>Cabazitaxel</w:t>
      </w:r>
      <w:r w:rsidR="6940C65B" w:rsidRPr="00E204F6">
        <w:rPr>
          <w:rFonts w:ascii="Times New Roman" w:eastAsia="Times New Roman" w:hAnsi="Times New Roman" w:cs="Times New Roman"/>
          <w:sz w:val="24"/>
          <w:szCs w:val="24"/>
        </w:rPr>
        <w:t xml:space="preserve"> and </w:t>
      </w:r>
      <w:r w:rsidR="2E1C6553" w:rsidRPr="00E204F6">
        <w:rPr>
          <w:rFonts w:ascii="Times New Roman" w:eastAsia="Times New Roman" w:hAnsi="Times New Roman" w:cs="Times New Roman"/>
          <w:sz w:val="24"/>
          <w:szCs w:val="24"/>
        </w:rPr>
        <w:t>Mitoxantrone</w:t>
      </w:r>
      <w:r w:rsidR="6940C65B" w:rsidRPr="00E204F6">
        <w:rPr>
          <w:rFonts w:ascii="Times New Roman" w:eastAsia="Times New Roman" w:hAnsi="Times New Roman" w:cs="Times New Roman"/>
          <w:sz w:val="24"/>
          <w:szCs w:val="24"/>
        </w:rPr>
        <w:t xml:space="preserve"> arm (i.e. </w:t>
      </w:r>
      <w:r w:rsidR="77EA56D4" w:rsidRPr="00E204F6">
        <w:rPr>
          <w:rFonts w:ascii="Times New Roman" w:eastAsia="Times New Roman" w:hAnsi="Times New Roman" w:cs="Times New Roman"/>
          <w:sz w:val="24"/>
          <w:szCs w:val="24"/>
        </w:rPr>
        <w:t>Cabazitaxel</w:t>
      </w:r>
      <w:r w:rsidR="6940C65B" w:rsidRPr="00E204F6">
        <w:rPr>
          <w:rFonts w:ascii="Times New Roman" w:eastAsia="Times New Roman" w:hAnsi="Times New Roman" w:cs="Times New Roman"/>
          <w:sz w:val="24"/>
          <w:szCs w:val="24"/>
        </w:rPr>
        <w:t xml:space="preserve"> minus </w:t>
      </w:r>
      <w:r w:rsidR="2E1C6553" w:rsidRPr="00E204F6">
        <w:rPr>
          <w:rFonts w:ascii="Times New Roman" w:eastAsia="Times New Roman" w:hAnsi="Times New Roman" w:cs="Times New Roman"/>
          <w:sz w:val="24"/>
          <w:szCs w:val="24"/>
        </w:rPr>
        <w:t>Mitoxantrone</w:t>
      </w:r>
      <w:r w:rsidR="6940C65B" w:rsidRPr="00E204F6">
        <w:rPr>
          <w:rFonts w:ascii="Times New Roman" w:eastAsia="Times New Roman" w:hAnsi="Times New Roman" w:cs="Times New Roman"/>
          <w:sz w:val="24"/>
          <w:szCs w:val="24"/>
        </w:rPr>
        <w:t xml:space="preserve">). The </w:t>
      </w:r>
      <w:r w:rsidR="68406BE4" w:rsidRPr="00E204F6">
        <w:rPr>
          <w:rFonts w:ascii="Times New Roman" w:eastAsia="Times New Roman" w:hAnsi="Times New Roman" w:cs="Times New Roman"/>
          <w:sz w:val="24"/>
          <w:szCs w:val="24"/>
        </w:rPr>
        <w:t>increments</w:t>
      </w:r>
      <w:r w:rsidR="6940C65B" w:rsidRPr="00E204F6">
        <w:rPr>
          <w:rFonts w:ascii="Times New Roman" w:eastAsia="Times New Roman" w:hAnsi="Times New Roman" w:cs="Times New Roman"/>
          <w:sz w:val="24"/>
          <w:szCs w:val="24"/>
        </w:rPr>
        <w:t xml:space="preserve"> were subsequently used to estimate the ICER.</w:t>
      </w:r>
    </w:p>
    <w:p w14:paraId="31FB9A58" w14:textId="5648C01C" w:rsidR="3300125E" w:rsidRPr="00E204F6" w:rsidRDefault="6EF4D507" w:rsidP="6FB1C763">
      <w:pPr>
        <w:rPr>
          <w:rFonts w:ascii="Times New Roman" w:eastAsia="Times New Roman" w:hAnsi="Times New Roman" w:cs="Times New Roman"/>
          <w:sz w:val="24"/>
          <w:szCs w:val="24"/>
        </w:rPr>
      </w:pPr>
      <w:r w:rsidRPr="2D08A563">
        <w:rPr>
          <w:rFonts w:ascii="Times New Roman" w:eastAsia="Times New Roman" w:hAnsi="Times New Roman" w:cs="Times New Roman"/>
          <w:sz w:val="24"/>
          <w:szCs w:val="24"/>
        </w:rPr>
        <w:lastRenderedPageBreak/>
        <w:t>In addition to health state</w:t>
      </w:r>
      <w:r w:rsidR="3FF2CEAF" w:rsidRPr="2D08A563">
        <w:rPr>
          <w:rFonts w:ascii="Times New Roman" w:eastAsia="Times New Roman" w:hAnsi="Times New Roman" w:cs="Times New Roman"/>
          <w:sz w:val="24"/>
          <w:szCs w:val="24"/>
        </w:rPr>
        <w:t xml:space="preserve"> utilities, the QALY loss attribu</w:t>
      </w:r>
      <w:r w:rsidR="41CCD062" w:rsidRPr="2D08A563">
        <w:rPr>
          <w:rFonts w:ascii="Times New Roman" w:eastAsia="Times New Roman" w:hAnsi="Times New Roman" w:cs="Times New Roman"/>
          <w:sz w:val="24"/>
          <w:szCs w:val="24"/>
        </w:rPr>
        <w:t>t</w:t>
      </w:r>
      <w:r w:rsidR="3A510701" w:rsidRPr="2D08A563">
        <w:rPr>
          <w:rFonts w:ascii="Times New Roman" w:eastAsia="Times New Roman" w:hAnsi="Times New Roman" w:cs="Times New Roman"/>
          <w:sz w:val="24"/>
          <w:szCs w:val="24"/>
        </w:rPr>
        <w:t>able</w:t>
      </w:r>
      <w:r w:rsidR="3FF2CEAF" w:rsidRPr="2D08A563">
        <w:rPr>
          <w:rFonts w:ascii="Times New Roman" w:eastAsia="Times New Roman" w:hAnsi="Times New Roman" w:cs="Times New Roman"/>
          <w:sz w:val="24"/>
          <w:szCs w:val="24"/>
        </w:rPr>
        <w:t xml:space="preserve"> to </w:t>
      </w:r>
      <w:r w:rsidR="6D9951AB" w:rsidRPr="2D08A563">
        <w:rPr>
          <w:rFonts w:ascii="Times New Roman" w:eastAsia="Times New Roman" w:hAnsi="Times New Roman" w:cs="Times New Roman"/>
          <w:sz w:val="24"/>
          <w:szCs w:val="24"/>
        </w:rPr>
        <w:t>A</w:t>
      </w:r>
      <w:r w:rsidR="1A0C6A05" w:rsidRPr="2D08A563">
        <w:rPr>
          <w:rFonts w:ascii="Times New Roman" w:eastAsia="Times New Roman" w:hAnsi="Times New Roman" w:cs="Times New Roman"/>
          <w:sz w:val="24"/>
          <w:szCs w:val="24"/>
        </w:rPr>
        <w:t>Es</w:t>
      </w:r>
      <w:r w:rsidR="3FF2CEAF" w:rsidRPr="2D08A563">
        <w:rPr>
          <w:rFonts w:ascii="Times New Roman" w:eastAsia="Times New Roman" w:hAnsi="Times New Roman" w:cs="Times New Roman"/>
          <w:sz w:val="24"/>
          <w:szCs w:val="24"/>
        </w:rPr>
        <w:t xml:space="preserve"> was incorporated. Disutility values</w:t>
      </w:r>
      <w:r w:rsidR="7664259A" w:rsidRPr="2D08A563">
        <w:rPr>
          <w:rFonts w:ascii="Times New Roman" w:eastAsia="Times New Roman" w:hAnsi="Times New Roman" w:cs="Times New Roman"/>
          <w:sz w:val="24"/>
          <w:szCs w:val="24"/>
        </w:rPr>
        <w:t xml:space="preserve"> </w:t>
      </w:r>
      <w:r w:rsidR="17FF65D6" w:rsidRPr="2D08A563">
        <w:rPr>
          <w:rFonts w:ascii="Times New Roman" w:eastAsia="Times New Roman" w:hAnsi="Times New Roman" w:cs="Times New Roman"/>
          <w:sz w:val="24"/>
          <w:szCs w:val="24"/>
        </w:rPr>
        <w:t>were derived from a literature review conducted fo</w:t>
      </w:r>
      <w:r w:rsidR="48B2F68C" w:rsidRPr="2D08A563">
        <w:rPr>
          <w:rFonts w:ascii="Times New Roman" w:eastAsia="Times New Roman" w:hAnsi="Times New Roman" w:cs="Times New Roman"/>
          <w:sz w:val="24"/>
          <w:szCs w:val="24"/>
        </w:rPr>
        <w:t xml:space="preserve">r the original NICE appraisal of </w:t>
      </w:r>
      <w:r w:rsidR="77EA56D4" w:rsidRPr="2D08A563">
        <w:rPr>
          <w:rFonts w:ascii="Times New Roman" w:eastAsia="Times New Roman" w:hAnsi="Times New Roman" w:cs="Times New Roman"/>
          <w:sz w:val="24"/>
          <w:szCs w:val="24"/>
        </w:rPr>
        <w:t>Cabazitaxel</w:t>
      </w:r>
      <w:r w:rsidR="48B2F68C" w:rsidRPr="2D08A563">
        <w:rPr>
          <w:rFonts w:ascii="Times New Roman" w:eastAsia="Times New Roman" w:hAnsi="Times New Roman" w:cs="Times New Roman"/>
          <w:sz w:val="24"/>
          <w:szCs w:val="24"/>
        </w:rPr>
        <w:t xml:space="preserve"> (TA255), which identified disutility estimates from studies in brea</w:t>
      </w:r>
      <w:r w:rsidR="1DD13575" w:rsidRPr="2D08A563">
        <w:rPr>
          <w:rFonts w:ascii="Times New Roman" w:eastAsia="Times New Roman" w:hAnsi="Times New Roman" w:cs="Times New Roman"/>
          <w:sz w:val="24"/>
          <w:szCs w:val="24"/>
        </w:rPr>
        <w:t>st and lung cancer, as no prostate cancer-specific values were available (NICE, 2016a; NIC</w:t>
      </w:r>
      <w:r w:rsidR="08C6F258" w:rsidRPr="2D08A563">
        <w:rPr>
          <w:rFonts w:ascii="Times New Roman" w:eastAsia="Times New Roman" w:hAnsi="Times New Roman" w:cs="Times New Roman"/>
          <w:sz w:val="24"/>
          <w:szCs w:val="24"/>
        </w:rPr>
        <w:t>E</w:t>
      </w:r>
      <w:r w:rsidR="1DD13575" w:rsidRPr="2D08A563">
        <w:rPr>
          <w:rFonts w:ascii="Times New Roman" w:eastAsia="Times New Roman" w:hAnsi="Times New Roman" w:cs="Times New Roman"/>
          <w:sz w:val="24"/>
          <w:szCs w:val="24"/>
        </w:rPr>
        <w:t>, 2016b)</w:t>
      </w:r>
      <w:r w:rsidR="1B356655" w:rsidRPr="2D08A563">
        <w:rPr>
          <w:rFonts w:ascii="Times New Roman" w:eastAsia="Times New Roman" w:hAnsi="Times New Roman" w:cs="Times New Roman"/>
          <w:sz w:val="24"/>
          <w:szCs w:val="24"/>
        </w:rPr>
        <w:t xml:space="preserve">. These </w:t>
      </w:r>
      <w:r w:rsidR="7099E424" w:rsidRPr="2D08A563">
        <w:rPr>
          <w:rFonts w:ascii="Times New Roman" w:eastAsia="Times New Roman" w:hAnsi="Times New Roman" w:cs="Times New Roman"/>
          <w:sz w:val="24"/>
          <w:szCs w:val="24"/>
        </w:rPr>
        <w:t>disutilit</w:t>
      </w:r>
      <w:r w:rsidR="6C01A2E5" w:rsidRPr="2D08A563">
        <w:rPr>
          <w:rFonts w:ascii="Times New Roman" w:eastAsia="Times New Roman" w:hAnsi="Times New Roman" w:cs="Times New Roman"/>
          <w:sz w:val="24"/>
          <w:szCs w:val="24"/>
        </w:rPr>
        <w:t>ie</w:t>
      </w:r>
      <w:r w:rsidR="7099E424" w:rsidRPr="2D08A563">
        <w:rPr>
          <w:rFonts w:ascii="Times New Roman" w:eastAsia="Times New Roman" w:hAnsi="Times New Roman" w:cs="Times New Roman"/>
          <w:sz w:val="24"/>
          <w:szCs w:val="24"/>
        </w:rPr>
        <w:t>s</w:t>
      </w:r>
      <w:r w:rsidR="1B356655" w:rsidRPr="2D08A563">
        <w:rPr>
          <w:rFonts w:ascii="Times New Roman" w:eastAsia="Times New Roman" w:hAnsi="Times New Roman" w:cs="Times New Roman"/>
          <w:sz w:val="24"/>
          <w:szCs w:val="24"/>
        </w:rPr>
        <w:t xml:space="preserve"> were applied to the incidence rates observed</w:t>
      </w:r>
      <w:r w:rsidR="62E82371" w:rsidRPr="2D08A563">
        <w:rPr>
          <w:rFonts w:ascii="Times New Roman" w:eastAsia="Times New Roman" w:hAnsi="Times New Roman" w:cs="Times New Roman"/>
          <w:sz w:val="24"/>
          <w:szCs w:val="24"/>
        </w:rPr>
        <w:t xml:space="preserve"> in the TROPIC trial for grade ≥3 AEs occurring in ≥5% of patients in either treatment arm (De B</w:t>
      </w:r>
      <w:r w:rsidR="633708D9" w:rsidRPr="2D08A563">
        <w:rPr>
          <w:rFonts w:ascii="Times New Roman" w:eastAsia="Times New Roman" w:hAnsi="Times New Roman" w:cs="Times New Roman"/>
          <w:sz w:val="24"/>
          <w:szCs w:val="24"/>
        </w:rPr>
        <w:t>ono et al., 2010).</w:t>
      </w:r>
      <w:r w:rsidR="72877246" w:rsidRPr="2D08A563">
        <w:rPr>
          <w:rFonts w:ascii="Times New Roman" w:eastAsia="Times New Roman" w:hAnsi="Times New Roman" w:cs="Times New Roman"/>
          <w:sz w:val="24"/>
          <w:szCs w:val="24"/>
        </w:rPr>
        <w:t xml:space="preserve"> The incidence, disutility weights, and durations for each AE are presented in </w:t>
      </w:r>
      <w:r w:rsidR="3A510701" w:rsidRPr="2D08A563">
        <w:rPr>
          <w:rFonts w:ascii="Times New Roman" w:eastAsia="Times New Roman" w:hAnsi="Times New Roman" w:cs="Times New Roman"/>
          <w:sz w:val="24"/>
          <w:szCs w:val="24"/>
        </w:rPr>
        <w:t>Table</w:t>
      </w:r>
      <w:r w:rsidR="72877246" w:rsidRPr="2D08A563">
        <w:rPr>
          <w:rFonts w:ascii="Times New Roman" w:eastAsia="Times New Roman" w:hAnsi="Times New Roman" w:cs="Times New Roman"/>
          <w:sz w:val="24"/>
          <w:szCs w:val="24"/>
        </w:rPr>
        <w:t xml:space="preserve"> </w:t>
      </w:r>
      <w:r w:rsidR="14D0CD63" w:rsidRPr="2D08A563">
        <w:rPr>
          <w:rFonts w:ascii="Times New Roman" w:eastAsia="Times New Roman" w:hAnsi="Times New Roman" w:cs="Times New Roman"/>
          <w:sz w:val="24"/>
          <w:szCs w:val="24"/>
        </w:rPr>
        <w:t>3</w:t>
      </w:r>
      <w:r w:rsidR="72877246" w:rsidRPr="2D08A563">
        <w:rPr>
          <w:rFonts w:ascii="Times New Roman" w:eastAsia="Times New Roman" w:hAnsi="Times New Roman" w:cs="Times New Roman"/>
          <w:sz w:val="24"/>
          <w:szCs w:val="24"/>
        </w:rPr>
        <w:t>.</w:t>
      </w:r>
    </w:p>
    <w:p w14:paraId="25AD0C9B" w14:textId="62F8C1A2" w:rsidR="085A5801" w:rsidRDefault="3A510701" w:rsidP="6FB1C763">
      <w:pPr>
        <w:rPr>
          <w:rFonts w:ascii="Times New Roman" w:eastAsia="Times New Roman" w:hAnsi="Times New Roman" w:cs="Times New Roman"/>
          <w:sz w:val="24"/>
          <w:szCs w:val="24"/>
        </w:rPr>
      </w:pPr>
      <w:r w:rsidRPr="00E204F6">
        <w:rPr>
          <w:rFonts w:ascii="Times New Roman" w:eastAsia="Times New Roman" w:hAnsi="Times New Roman" w:cs="Times New Roman"/>
          <w:b/>
          <w:bCs/>
          <w:sz w:val="24"/>
          <w:szCs w:val="24"/>
        </w:rPr>
        <w:t>Table</w:t>
      </w:r>
      <w:r w:rsidR="0F09F470" w:rsidRPr="00E204F6">
        <w:rPr>
          <w:rFonts w:ascii="Times New Roman" w:eastAsia="Times New Roman" w:hAnsi="Times New Roman" w:cs="Times New Roman"/>
          <w:b/>
          <w:bCs/>
          <w:sz w:val="24"/>
          <w:szCs w:val="24"/>
        </w:rPr>
        <w:t xml:space="preserve"> </w:t>
      </w:r>
      <w:r w:rsidR="4E5004FD" w:rsidRPr="00E204F6">
        <w:rPr>
          <w:rFonts w:ascii="Times New Roman" w:eastAsia="Times New Roman" w:hAnsi="Times New Roman" w:cs="Times New Roman"/>
          <w:b/>
          <w:bCs/>
          <w:sz w:val="24"/>
          <w:szCs w:val="24"/>
        </w:rPr>
        <w:t>3</w:t>
      </w:r>
      <w:r w:rsidR="0F09F470" w:rsidRPr="00E204F6">
        <w:rPr>
          <w:rFonts w:ascii="Times New Roman" w:eastAsia="Times New Roman" w:hAnsi="Times New Roman" w:cs="Times New Roman"/>
          <w:b/>
          <w:bCs/>
          <w:sz w:val="24"/>
          <w:szCs w:val="24"/>
        </w:rPr>
        <w:t>.</w:t>
      </w:r>
      <w:r w:rsidR="0F09F470" w:rsidRPr="00E204F6">
        <w:rPr>
          <w:rFonts w:ascii="Times New Roman" w:eastAsia="Times New Roman" w:hAnsi="Times New Roman" w:cs="Times New Roman"/>
          <w:sz w:val="24"/>
          <w:szCs w:val="24"/>
        </w:rPr>
        <w:t xml:space="preserve"> AEs incidence, disutility weights and durations used in the model.</w:t>
      </w:r>
    </w:p>
    <w:p w14:paraId="63C8C765" w14:textId="1032BAB6" w:rsidR="008C4C28" w:rsidRDefault="00D022AE" w:rsidP="6FB1C763">
      <w:pPr>
        <w:rPr>
          <w:rFonts w:ascii="Times New Roman" w:eastAsia="Times New Roman" w:hAnsi="Times New Roman" w:cs="Times New Roman"/>
          <w:sz w:val="24"/>
          <w:szCs w:val="24"/>
        </w:rPr>
      </w:pPr>
      <w:r>
        <w:rPr>
          <w:noProof/>
        </w:rPr>
        <w:drawing>
          <wp:inline distT="0" distB="0" distL="0" distR="0" wp14:anchorId="05318CF2" wp14:editId="213D1EEA">
            <wp:extent cx="5760720" cy="6195060"/>
            <wp:effectExtent l="0" t="0" r="0" b="0"/>
            <wp:docPr id="968644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644356" name=""/>
                    <pic:cNvPicPr/>
                  </pic:nvPicPr>
                  <pic:blipFill>
                    <a:blip r:embed="rId13"/>
                    <a:stretch>
                      <a:fillRect/>
                    </a:stretch>
                  </pic:blipFill>
                  <pic:spPr>
                    <a:xfrm>
                      <a:off x="0" y="0"/>
                      <a:ext cx="5760720" cy="6195060"/>
                    </a:xfrm>
                    <a:prstGeom prst="rect">
                      <a:avLst/>
                    </a:prstGeom>
                  </pic:spPr>
                </pic:pic>
              </a:graphicData>
            </a:graphic>
          </wp:inline>
        </w:drawing>
      </w:r>
    </w:p>
    <w:p w14:paraId="3BD8E5AA" w14:textId="6AAB76CF" w:rsidR="60C72FD4" w:rsidRPr="00E204F6" w:rsidRDefault="72877246" w:rsidP="6FB1C763">
      <w:pPr>
        <w:rPr>
          <w:rFonts w:ascii="Times New Roman" w:eastAsia="Times New Roman" w:hAnsi="Times New Roman" w:cs="Times New Roman"/>
          <w:sz w:val="24"/>
          <w:szCs w:val="24"/>
        </w:rPr>
      </w:pPr>
      <w:r w:rsidRPr="2D08A563">
        <w:rPr>
          <w:rFonts w:ascii="Times New Roman" w:eastAsia="Times New Roman" w:hAnsi="Times New Roman" w:cs="Times New Roman"/>
          <w:sz w:val="24"/>
          <w:szCs w:val="24"/>
        </w:rPr>
        <w:t xml:space="preserve">The total QALY loss per adverse event was calculated as the product of the incidence rate, the disutility weight, and the duration converted to years (i.e. days divided by 365). These were summed across all AEs to obtain the total QALY loss per treatment arm: 0.0038 for </w:t>
      </w:r>
      <w:r w:rsidR="77EA56D4" w:rsidRPr="2D08A563">
        <w:rPr>
          <w:rFonts w:ascii="Times New Roman" w:eastAsia="Times New Roman" w:hAnsi="Times New Roman" w:cs="Times New Roman"/>
          <w:sz w:val="24"/>
          <w:szCs w:val="24"/>
        </w:rPr>
        <w:t>Cabazitaxel</w:t>
      </w:r>
      <w:r w:rsidRPr="2D08A563">
        <w:rPr>
          <w:rFonts w:ascii="Times New Roman" w:eastAsia="Times New Roman" w:hAnsi="Times New Roman" w:cs="Times New Roman"/>
          <w:sz w:val="24"/>
          <w:szCs w:val="24"/>
        </w:rPr>
        <w:t xml:space="preserve"> and 0.0021 for </w:t>
      </w:r>
      <w:r w:rsidR="2E1C6553" w:rsidRPr="2D08A563">
        <w:rPr>
          <w:rFonts w:ascii="Times New Roman" w:eastAsia="Times New Roman" w:hAnsi="Times New Roman" w:cs="Times New Roman"/>
          <w:sz w:val="24"/>
          <w:szCs w:val="24"/>
        </w:rPr>
        <w:t>Mitoxantrone</w:t>
      </w:r>
      <w:r w:rsidR="48B8DA31" w:rsidRPr="2D08A563">
        <w:rPr>
          <w:rFonts w:ascii="Times New Roman" w:eastAsia="Times New Roman" w:hAnsi="Times New Roman" w:cs="Times New Roman"/>
          <w:sz w:val="24"/>
          <w:szCs w:val="24"/>
        </w:rPr>
        <w:t>.</w:t>
      </w:r>
      <w:r w:rsidR="21193FFD" w:rsidRPr="2D08A563">
        <w:rPr>
          <w:rFonts w:ascii="Times New Roman" w:eastAsia="Times New Roman" w:hAnsi="Times New Roman" w:cs="Times New Roman"/>
          <w:sz w:val="24"/>
          <w:szCs w:val="24"/>
        </w:rPr>
        <w:t xml:space="preserve"> </w:t>
      </w:r>
      <w:r w:rsidR="48B8DA31" w:rsidRPr="2D08A563">
        <w:rPr>
          <w:rFonts w:ascii="Times New Roman" w:eastAsia="Times New Roman" w:hAnsi="Times New Roman" w:cs="Times New Roman"/>
          <w:sz w:val="24"/>
          <w:szCs w:val="24"/>
        </w:rPr>
        <w:t xml:space="preserve">These values were subtracted from the total </w:t>
      </w:r>
      <w:r w:rsidR="48B8DA31" w:rsidRPr="2D08A563">
        <w:rPr>
          <w:rFonts w:ascii="Times New Roman" w:eastAsia="Times New Roman" w:hAnsi="Times New Roman" w:cs="Times New Roman"/>
          <w:sz w:val="24"/>
          <w:szCs w:val="24"/>
        </w:rPr>
        <w:lastRenderedPageBreak/>
        <w:t xml:space="preserve">QALYs per treatment arm as a </w:t>
      </w:r>
      <w:r w:rsidR="5C5FD6FF" w:rsidRPr="2D08A563">
        <w:rPr>
          <w:rFonts w:ascii="Times New Roman" w:eastAsia="Times New Roman" w:hAnsi="Times New Roman" w:cs="Times New Roman"/>
          <w:sz w:val="24"/>
          <w:szCs w:val="24"/>
        </w:rPr>
        <w:t>lumpsum</w:t>
      </w:r>
      <w:r w:rsidR="48B8DA31" w:rsidRPr="2D08A563">
        <w:rPr>
          <w:rFonts w:ascii="Times New Roman" w:eastAsia="Times New Roman" w:hAnsi="Times New Roman" w:cs="Times New Roman"/>
          <w:sz w:val="24"/>
          <w:szCs w:val="24"/>
        </w:rPr>
        <w:t xml:space="preserve"> adjustment applied at the first model cycle</w:t>
      </w:r>
      <w:r w:rsidR="1827EC0C" w:rsidRPr="2D08A563">
        <w:rPr>
          <w:rFonts w:ascii="Times New Roman" w:eastAsia="Times New Roman" w:hAnsi="Times New Roman" w:cs="Times New Roman"/>
          <w:sz w:val="24"/>
          <w:szCs w:val="24"/>
        </w:rPr>
        <w:t xml:space="preserve"> to the whole cohort</w:t>
      </w:r>
      <w:r w:rsidR="48B8DA31" w:rsidRPr="2D08A563">
        <w:rPr>
          <w:rFonts w:ascii="Times New Roman" w:eastAsia="Times New Roman" w:hAnsi="Times New Roman" w:cs="Times New Roman"/>
          <w:sz w:val="24"/>
          <w:szCs w:val="24"/>
        </w:rPr>
        <w:t>, since AEs can occur at any point during treatment and no cycle-specific timing data was available. No half-cycle correction was applied to the AE QALY loss, as this is</w:t>
      </w:r>
      <w:r w:rsidR="6609FBDB" w:rsidRPr="2D08A563">
        <w:rPr>
          <w:rFonts w:ascii="Times New Roman" w:eastAsia="Times New Roman" w:hAnsi="Times New Roman" w:cs="Times New Roman"/>
          <w:sz w:val="24"/>
          <w:szCs w:val="24"/>
        </w:rPr>
        <w:t xml:space="preserve"> a one-off adjustment. </w:t>
      </w:r>
    </w:p>
    <w:p w14:paraId="3DC0DD85" w14:textId="678F41A6" w:rsidR="2D08A563" w:rsidRDefault="2D08A563" w:rsidP="2D08A563">
      <w:pPr>
        <w:rPr>
          <w:rFonts w:ascii="Times New Roman" w:eastAsia="Times New Roman" w:hAnsi="Times New Roman" w:cs="Times New Roman"/>
          <w:sz w:val="24"/>
          <w:szCs w:val="24"/>
        </w:rPr>
      </w:pPr>
    </w:p>
    <w:p w14:paraId="46680F1B" w14:textId="5D6E66DA" w:rsidR="72232BF3" w:rsidRPr="00E204F6" w:rsidRDefault="6609FBDB" w:rsidP="76C0B922">
      <w:pPr>
        <w:spacing w:after="0"/>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Limitations</w:t>
      </w:r>
    </w:p>
    <w:p w14:paraId="565222BD" w14:textId="35D6510F" w:rsidR="72232BF3" w:rsidRPr="00E204F6" w:rsidRDefault="6609FBDB" w:rsidP="76C0B922">
      <w:pPr>
        <w:spacing w:after="0"/>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Several limitations of the utility data should be noted. First, the UK EAP was a single-arm study without a control group, meaning there is no comparison with untreated patients or those receiving </w:t>
      </w:r>
      <w:r w:rsidR="2E1C6553" w:rsidRPr="00E204F6">
        <w:rPr>
          <w:rFonts w:ascii="Times New Roman" w:eastAsia="Times New Roman" w:hAnsi="Times New Roman" w:cs="Times New Roman"/>
          <w:sz w:val="24"/>
          <w:szCs w:val="24"/>
        </w:rPr>
        <w:t>Mitoxantrone</w:t>
      </w:r>
      <w:r w:rsidRPr="00E204F6">
        <w:rPr>
          <w:rFonts w:ascii="Times New Roman" w:eastAsia="Times New Roman" w:hAnsi="Times New Roman" w:cs="Times New Roman"/>
          <w:sz w:val="24"/>
          <w:szCs w:val="24"/>
        </w:rPr>
        <w:t xml:space="preserve">. Because utilities were only measured in </w:t>
      </w:r>
      <w:r w:rsidR="77EA56D4" w:rsidRPr="00E204F6">
        <w:rPr>
          <w:rFonts w:ascii="Times New Roman" w:eastAsia="Times New Roman" w:hAnsi="Times New Roman" w:cs="Times New Roman"/>
          <w:sz w:val="24"/>
          <w:szCs w:val="24"/>
        </w:rPr>
        <w:t>Cabazitaxel</w:t>
      </w:r>
      <w:r w:rsidRPr="00E204F6">
        <w:rPr>
          <w:rFonts w:ascii="Times New Roman" w:eastAsia="Times New Roman" w:hAnsi="Times New Roman" w:cs="Times New Roman"/>
          <w:sz w:val="24"/>
          <w:szCs w:val="24"/>
        </w:rPr>
        <w:t>-treated patients, treatment-specific differences in H</w:t>
      </w:r>
      <w:r w:rsidR="51A2576A" w:rsidRPr="00E204F6">
        <w:rPr>
          <w:rFonts w:ascii="Times New Roman" w:eastAsia="Times New Roman" w:hAnsi="Times New Roman" w:cs="Times New Roman"/>
          <w:sz w:val="24"/>
          <w:szCs w:val="24"/>
        </w:rPr>
        <w:t>R</w:t>
      </w:r>
      <w:r w:rsidRPr="00E204F6">
        <w:rPr>
          <w:rFonts w:ascii="Times New Roman" w:eastAsia="Times New Roman" w:hAnsi="Times New Roman" w:cs="Times New Roman"/>
          <w:sz w:val="24"/>
          <w:szCs w:val="24"/>
        </w:rPr>
        <w:t>QoL cannot be observed, and equal utilities had to be assumed across treatment arms, which may bias the incremental QALY estimates and the</w:t>
      </w:r>
      <w:r w:rsidR="0535AC71" w:rsidRPr="00E204F6">
        <w:rPr>
          <w:rFonts w:ascii="Times New Roman" w:eastAsia="Times New Roman" w:hAnsi="Times New Roman" w:cs="Times New Roman"/>
          <w:sz w:val="24"/>
          <w:szCs w:val="24"/>
        </w:rPr>
        <w:t>refore the</w:t>
      </w:r>
      <w:r w:rsidRPr="00E204F6">
        <w:rPr>
          <w:rFonts w:ascii="Times New Roman" w:eastAsia="Times New Roman" w:hAnsi="Times New Roman" w:cs="Times New Roman"/>
          <w:sz w:val="24"/>
          <w:szCs w:val="24"/>
        </w:rPr>
        <w:t xml:space="preserve"> ICER. Additionally, the number of patients with available EQ-5D data decreased at later treatment cycles: approximately 100 patients were assessed at baseline, but only 28 remained at cycle 10 (Bahl et al., 2015). This drop-off likely introduces selection bias, because patients who stayed on treatment longer were probably those doing better clinically, which may overestimate the utility values at later cycles.</w:t>
      </w:r>
    </w:p>
    <w:p w14:paraId="155C7D68" w14:textId="51D988C6" w:rsidR="76C0B922" w:rsidRPr="00E204F6" w:rsidRDefault="76C0B922" w:rsidP="76C0B922">
      <w:pPr>
        <w:spacing w:after="0"/>
        <w:rPr>
          <w:rFonts w:ascii="Times New Roman" w:eastAsia="Times New Roman" w:hAnsi="Times New Roman" w:cs="Times New Roman"/>
          <w:sz w:val="12"/>
          <w:szCs w:val="12"/>
        </w:rPr>
      </w:pPr>
    </w:p>
    <w:p w14:paraId="1D499460" w14:textId="4F21D55C" w:rsidR="72232BF3" w:rsidRPr="00E204F6" w:rsidRDefault="6609FBDB" w:rsidP="6FB1C763">
      <w:pPr>
        <w:rPr>
          <w:rFonts w:ascii="Times New Roman" w:eastAsia="Times New Roman" w:hAnsi="Times New Roman" w:cs="Times New Roman"/>
          <w:sz w:val="24"/>
          <w:szCs w:val="24"/>
        </w:rPr>
      </w:pPr>
      <w:r w:rsidRPr="30076135">
        <w:rPr>
          <w:rFonts w:ascii="Times New Roman" w:eastAsia="Times New Roman" w:hAnsi="Times New Roman" w:cs="Times New Roman"/>
          <w:sz w:val="24"/>
          <w:szCs w:val="24"/>
        </w:rPr>
        <w:t xml:space="preserve">A further limitation concerns the statistical uncertainty of the </w:t>
      </w:r>
      <w:r w:rsidR="4439C423" w:rsidRPr="30076135">
        <w:rPr>
          <w:rFonts w:ascii="Times New Roman" w:eastAsia="Times New Roman" w:hAnsi="Times New Roman" w:cs="Times New Roman"/>
          <w:sz w:val="24"/>
          <w:szCs w:val="24"/>
        </w:rPr>
        <w:t>PD</w:t>
      </w:r>
      <w:r w:rsidRPr="30076135">
        <w:rPr>
          <w:rFonts w:ascii="Times New Roman" w:eastAsia="Times New Roman" w:hAnsi="Times New Roman" w:cs="Times New Roman"/>
          <w:sz w:val="24"/>
          <w:szCs w:val="24"/>
        </w:rPr>
        <w:t xml:space="preserve"> utility</w:t>
      </w:r>
      <w:r w:rsidR="63F6F315" w:rsidRPr="30076135">
        <w:rPr>
          <w:rFonts w:ascii="Times New Roman" w:eastAsia="Times New Roman" w:hAnsi="Times New Roman" w:cs="Times New Roman"/>
          <w:sz w:val="24"/>
          <w:szCs w:val="24"/>
        </w:rPr>
        <w:t>,</w:t>
      </w:r>
      <w:r w:rsidRPr="30076135">
        <w:rPr>
          <w:rFonts w:ascii="Times New Roman" w:eastAsia="Times New Roman" w:hAnsi="Times New Roman" w:cs="Times New Roman"/>
          <w:sz w:val="24"/>
          <w:szCs w:val="24"/>
        </w:rPr>
        <w:t xml:space="preserve"> specifically the value of 0.627 is based on measurements from only 25 patients, which makes this value uncertain (NICE, 2016b). The ERG (Evidence Review Group, the independent academic group that reviewed the manufacturer’s submission for NICE) tested how sensitive the model results are to this uncertainty by using the upper and lower bounds of the 95% confidence interval (</w:t>
      </w:r>
      <w:r w:rsidR="09464ABF" w:rsidRPr="30076135">
        <w:rPr>
          <w:rFonts w:ascii="Times New Roman" w:eastAsia="Times New Roman" w:hAnsi="Times New Roman" w:cs="Times New Roman"/>
          <w:sz w:val="24"/>
          <w:szCs w:val="24"/>
        </w:rPr>
        <w:t xml:space="preserve">CI = </w:t>
      </w:r>
      <w:r w:rsidRPr="30076135">
        <w:rPr>
          <w:rFonts w:ascii="Times New Roman" w:eastAsia="Times New Roman" w:hAnsi="Times New Roman" w:cs="Times New Roman"/>
          <w:sz w:val="24"/>
          <w:szCs w:val="24"/>
        </w:rPr>
        <w:t xml:space="preserve">0.510 </w:t>
      </w:r>
      <w:r w:rsidR="75285397" w:rsidRPr="30076135">
        <w:rPr>
          <w:rFonts w:ascii="Times New Roman" w:eastAsia="Times New Roman" w:hAnsi="Times New Roman" w:cs="Times New Roman"/>
          <w:sz w:val="24"/>
          <w:szCs w:val="24"/>
        </w:rPr>
        <w:t>-</w:t>
      </w:r>
      <w:r w:rsidRPr="30076135">
        <w:rPr>
          <w:rFonts w:ascii="Times New Roman" w:eastAsia="Times New Roman" w:hAnsi="Times New Roman" w:cs="Times New Roman"/>
          <w:sz w:val="24"/>
          <w:szCs w:val="24"/>
        </w:rPr>
        <w:t xml:space="preserve"> 0.743). When the lower bound was used, the ICER increased from approximately £49,300 to £55,200 per QALY gained; when the upper bound was used, it decreased to £44,600 per QALY gained (NICE, 2016b). This shows that the </w:t>
      </w:r>
      <w:r w:rsidR="6CD83CC4" w:rsidRPr="30076135">
        <w:rPr>
          <w:rFonts w:ascii="Times New Roman" w:eastAsia="Times New Roman" w:hAnsi="Times New Roman" w:cs="Times New Roman"/>
          <w:sz w:val="24"/>
          <w:szCs w:val="24"/>
        </w:rPr>
        <w:t>PD</w:t>
      </w:r>
      <w:r w:rsidRPr="30076135">
        <w:rPr>
          <w:rFonts w:ascii="Times New Roman" w:eastAsia="Times New Roman" w:hAnsi="Times New Roman" w:cs="Times New Roman"/>
          <w:sz w:val="24"/>
          <w:szCs w:val="24"/>
        </w:rPr>
        <w:t xml:space="preserve"> utility is an important driver of the model results. </w:t>
      </w:r>
    </w:p>
    <w:p w14:paraId="49B9224E" w14:textId="3D4CC65F" w:rsidR="72232BF3" w:rsidRPr="00E204F6" w:rsidRDefault="6609FBDB" w:rsidP="6FB1C763">
      <w:pPr>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Third, the patients in the UK EAP were less heavily pre-treated than those in TROPIC</w:t>
      </w:r>
      <w:r w:rsidR="2BF56A68" w:rsidRPr="00E204F6">
        <w:rPr>
          <w:rFonts w:ascii="Times New Roman" w:eastAsia="Times New Roman" w:hAnsi="Times New Roman" w:cs="Times New Roman"/>
          <w:sz w:val="24"/>
          <w:szCs w:val="24"/>
        </w:rPr>
        <w:t>;</w:t>
      </w:r>
      <w:r w:rsidRPr="00E204F6">
        <w:rPr>
          <w:rFonts w:ascii="Times New Roman" w:eastAsia="Times New Roman" w:hAnsi="Times New Roman" w:cs="Times New Roman"/>
          <w:sz w:val="24"/>
          <w:szCs w:val="24"/>
        </w:rPr>
        <w:t xml:space="preserve"> only 11% had received two or more prior chemotherapy regimens, compared to 31% in TROPIC (Bahl et al., 2015; NICE, 2016b). Patients who have undergone fewer prior chemotherapy regimens have been exposed to less cumulative toxicity and are therefore likely to be in better overall physical condition at the start or treatment. This difference means the EAP patients may have been in somewhat better health, and utility values could have therefore slightly overestimate HRQoL for our modelled population. </w:t>
      </w:r>
    </w:p>
    <w:p w14:paraId="094CA679" w14:textId="5C2BBC7D" w:rsidR="5C731B8B" w:rsidRPr="00E204F6" w:rsidRDefault="6609FBDB" w:rsidP="76C0B922">
      <w:pPr>
        <w:rPr>
          <w:rFonts w:ascii="Times New Roman" w:eastAsia="Times New Roman" w:hAnsi="Times New Roman" w:cs="Times New Roman"/>
          <w:b/>
          <w:bCs/>
          <w:sz w:val="24"/>
          <w:szCs w:val="24"/>
        </w:rPr>
      </w:pPr>
      <w:r w:rsidRPr="00E204F6">
        <w:rPr>
          <w:rFonts w:ascii="Times New Roman" w:eastAsia="Times New Roman" w:hAnsi="Times New Roman" w:cs="Times New Roman"/>
          <w:sz w:val="24"/>
          <w:szCs w:val="24"/>
        </w:rPr>
        <w:t xml:space="preserve">Despite these limitations, the NICE appraisal committee accepted the UK EAP as the best available source of utility data for </w:t>
      </w:r>
      <w:proofErr w:type="spellStart"/>
      <w:r w:rsidRPr="00E204F6">
        <w:rPr>
          <w:rFonts w:ascii="Times New Roman" w:eastAsia="Times New Roman" w:hAnsi="Times New Roman" w:cs="Times New Roman"/>
          <w:sz w:val="24"/>
          <w:szCs w:val="24"/>
        </w:rPr>
        <w:t>mCRPC</w:t>
      </w:r>
      <w:proofErr w:type="spellEnd"/>
      <w:r w:rsidRPr="00E204F6">
        <w:rPr>
          <w:rFonts w:ascii="Times New Roman" w:eastAsia="Times New Roman" w:hAnsi="Times New Roman" w:cs="Times New Roman"/>
          <w:sz w:val="24"/>
          <w:szCs w:val="24"/>
        </w:rPr>
        <w:t xml:space="preserve"> patients after docetaxel failure, and no more recent disease-specific utility data have been identified for this population (NICE, 2016a). As described above, the same utility values were applied to both the </w:t>
      </w:r>
      <w:r w:rsidR="77EA56D4" w:rsidRPr="00E204F6">
        <w:rPr>
          <w:rFonts w:ascii="Times New Roman" w:eastAsia="Times New Roman" w:hAnsi="Times New Roman" w:cs="Times New Roman"/>
          <w:sz w:val="24"/>
          <w:szCs w:val="24"/>
        </w:rPr>
        <w:t>Cabazitaxel</w:t>
      </w:r>
      <w:r w:rsidRPr="00E204F6">
        <w:rPr>
          <w:rFonts w:ascii="Times New Roman" w:eastAsia="Times New Roman" w:hAnsi="Times New Roman" w:cs="Times New Roman"/>
          <w:sz w:val="24"/>
          <w:szCs w:val="24"/>
        </w:rPr>
        <w:t xml:space="preserve"> and </w:t>
      </w:r>
      <w:r w:rsidR="2E1C6553" w:rsidRPr="00E204F6">
        <w:rPr>
          <w:rFonts w:ascii="Times New Roman" w:eastAsia="Times New Roman" w:hAnsi="Times New Roman" w:cs="Times New Roman"/>
          <w:sz w:val="24"/>
          <w:szCs w:val="24"/>
        </w:rPr>
        <w:t>Mitoxantrone</w:t>
      </w:r>
      <w:r w:rsidRPr="00E204F6">
        <w:rPr>
          <w:rFonts w:ascii="Times New Roman" w:eastAsia="Times New Roman" w:hAnsi="Times New Roman" w:cs="Times New Roman"/>
          <w:sz w:val="24"/>
          <w:szCs w:val="24"/>
        </w:rPr>
        <w:t xml:space="preserve"> arms in our model.</w:t>
      </w:r>
    </w:p>
    <w:p w14:paraId="3E55D15E" w14:textId="4389D964" w:rsidR="2EFA8758" w:rsidRPr="00E204F6" w:rsidRDefault="2EFA8758" w:rsidP="2E1AFFE6">
      <w:pPr>
        <w:pStyle w:val="Heading2"/>
        <w:spacing w:line="257" w:lineRule="auto"/>
        <w:rPr>
          <w:rStyle w:val="Heading2Char"/>
          <w:rFonts w:ascii="Times New Roman" w:eastAsia="Times New Roman" w:hAnsi="Times New Roman" w:cs="Times New Roman"/>
          <w:color w:val="auto"/>
          <w:sz w:val="28"/>
          <w:szCs w:val="28"/>
        </w:rPr>
      </w:pPr>
    </w:p>
    <w:p w14:paraId="34DA559F" w14:textId="20B60CF9" w:rsidR="2EFA8758" w:rsidRPr="00E204F6" w:rsidRDefault="180399E2" w:rsidP="2E1AFFE6">
      <w:r>
        <w:br w:type="page"/>
      </w:r>
    </w:p>
    <w:p w14:paraId="37B94F87" w14:textId="48E22B44" w:rsidR="2EFA8758" w:rsidRPr="00E204F6" w:rsidRDefault="180399E2" w:rsidP="2E1AFFE6">
      <w:pPr>
        <w:pStyle w:val="Heading2"/>
        <w:spacing w:line="257" w:lineRule="auto"/>
        <w:rPr>
          <w:rStyle w:val="Heading2Char"/>
          <w:rFonts w:ascii="Times New Roman" w:eastAsia="Times New Roman" w:hAnsi="Times New Roman" w:cs="Times New Roman"/>
          <w:color w:val="auto"/>
          <w:sz w:val="28"/>
          <w:szCs w:val="28"/>
        </w:rPr>
      </w:pPr>
      <w:bookmarkStart w:id="5" w:name="_Toc52770009"/>
      <w:r w:rsidRPr="30076135">
        <w:rPr>
          <w:rStyle w:val="Heading2Char"/>
          <w:rFonts w:ascii="Times New Roman" w:eastAsia="Times New Roman" w:hAnsi="Times New Roman" w:cs="Times New Roman"/>
          <w:color w:val="auto"/>
          <w:sz w:val="28"/>
          <w:szCs w:val="28"/>
        </w:rPr>
        <w:lastRenderedPageBreak/>
        <w:t>RESOURCES USE AND COSTS</w:t>
      </w:r>
      <w:bookmarkEnd w:id="5"/>
    </w:p>
    <w:p w14:paraId="024DA83B" w14:textId="409A7730" w:rsidR="2E1AFFE6" w:rsidRDefault="2E1AFFE6" w:rsidP="2E1AFFE6"/>
    <w:p w14:paraId="57EDC004" w14:textId="5ED60C00" w:rsidR="2EFA8758" w:rsidRPr="00E204F6" w:rsidRDefault="0A315358" w:rsidP="76C0B922">
      <w:pPr>
        <w:spacing w:line="257" w:lineRule="auto"/>
        <w:rPr>
          <w:rFonts w:ascii="Times New Roman" w:eastAsia="Times New Roman" w:hAnsi="Times New Roman" w:cs="Times New Roman"/>
          <w:color w:val="000000" w:themeColor="text1"/>
          <w:sz w:val="24"/>
          <w:szCs w:val="24"/>
        </w:rPr>
      </w:pPr>
      <w:r w:rsidRPr="00E204F6">
        <w:rPr>
          <w:rFonts w:ascii="Times New Roman" w:eastAsia="Times New Roman" w:hAnsi="Times New Roman" w:cs="Times New Roman"/>
          <w:color w:val="000000" w:themeColor="text1"/>
          <w:sz w:val="24"/>
          <w:szCs w:val="24"/>
        </w:rPr>
        <w:t xml:space="preserve">To calculate the ICER, all relevant cost inputs are incorporated into the model. For this, all necessary input parameters are identified from the perspective of the NHS and </w:t>
      </w:r>
      <w:r w:rsidR="707958B6" w:rsidRPr="00E204F6">
        <w:rPr>
          <w:rFonts w:ascii="Times New Roman" w:eastAsia="Times New Roman" w:hAnsi="Times New Roman" w:cs="Times New Roman"/>
          <w:color w:val="000000" w:themeColor="text1"/>
          <w:sz w:val="24"/>
          <w:szCs w:val="24"/>
        </w:rPr>
        <w:t xml:space="preserve">the </w:t>
      </w:r>
      <w:r w:rsidR="57665C98" w:rsidRPr="00E204F6">
        <w:rPr>
          <w:rFonts w:ascii="Times New Roman" w:eastAsia="Times New Roman" w:hAnsi="Times New Roman" w:cs="Times New Roman"/>
          <w:color w:val="000000" w:themeColor="text1"/>
          <w:sz w:val="24"/>
          <w:szCs w:val="24"/>
        </w:rPr>
        <w:t>personal social services (</w:t>
      </w:r>
      <w:r w:rsidRPr="00E204F6">
        <w:rPr>
          <w:rFonts w:ascii="Times New Roman" w:eastAsia="Times New Roman" w:hAnsi="Times New Roman" w:cs="Times New Roman"/>
          <w:color w:val="000000" w:themeColor="text1"/>
          <w:sz w:val="24"/>
          <w:szCs w:val="24"/>
        </w:rPr>
        <w:t>PSS</w:t>
      </w:r>
      <w:r w:rsidR="3A0DA17E" w:rsidRPr="00E204F6">
        <w:rPr>
          <w:rFonts w:ascii="Times New Roman" w:eastAsia="Times New Roman" w:hAnsi="Times New Roman" w:cs="Times New Roman"/>
          <w:color w:val="000000" w:themeColor="text1"/>
          <w:sz w:val="24"/>
          <w:szCs w:val="24"/>
        </w:rPr>
        <w:t>)</w:t>
      </w:r>
      <w:r w:rsidRPr="00E204F6">
        <w:rPr>
          <w:rFonts w:ascii="Times New Roman" w:eastAsia="Times New Roman" w:hAnsi="Times New Roman" w:cs="Times New Roman"/>
          <w:color w:val="000000" w:themeColor="text1"/>
          <w:sz w:val="24"/>
          <w:szCs w:val="24"/>
        </w:rPr>
        <w:t xml:space="preserve">, restricted to those applicable to the UK setting. All costs are adjusted to the 2023/2024 price index, and each type of cost is first calculated per person per cycle (except for the </w:t>
      </w:r>
      <w:r w:rsidR="5C5FD6FF" w:rsidRPr="00E204F6">
        <w:rPr>
          <w:rFonts w:ascii="Times New Roman" w:eastAsia="Times New Roman" w:hAnsi="Times New Roman" w:cs="Times New Roman"/>
          <w:color w:val="000000" w:themeColor="text1"/>
          <w:sz w:val="24"/>
          <w:szCs w:val="24"/>
        </w:rPr>
        <w:t>lumpsum</w:t>
      </w:r>
      <w:r w:rsidRPr="00E204F6">
        <w:rPr>
          <w:rFonts w:ascii="Times New Roman" w:eastAsia="Times New Roman" w:hAnsi="Times New Roman" w:cs="Times New Roman"/>
          <w:color w:val="000000" w:themeColor="text1"/>
          <w:sz w:val="24"/>
          <w:szCs w:val="24"/>
        </w:rPr>
        <w:t>, which already includes all cycles), which will be shown in more detail below.</w:t>
      </w:r>
    </w:p>
    <w:p w14:paraId="1FE84B42" w14:textId="39216589" w:rsidR="2EFA8758" w:rsidRPr="00E204F6" w:rsidRDefault="28A069E6" w:rsidP="76C0B922">
      <w:pPr>
        <w:spacing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b/>
          <w:bCs/>
          <w:color w:val="000000" w:themeColor="text1"/>
          <w:sz w:val="24"/>
          <w:szCs w:val="24"/>
        </w:rPr>
        <w:t>Stable</w:t>
      </w:r>
      <w:r w:rsidR="0A315358" w:rsidRPr="00E204F6">
        <w:rPr>
          <w:rFonts w:ascii="Times New Roman" w:eastAsia="Times New Roman" w:hAnsi="Times New Roman" w:cs="Times New Roman"/>
          <w:b/>
          <w:bCs/>
          <w:color w:val="000000" w:themeColor="text1"/>
          <w:sz w:val="24"/>
          <w:szCs w:val="24"/>
        </w:rPr>
        <w:t xml:space="preserve"> disease health state costs</w:t>
      </w:r>
    </w:p>
    <w:p w14:paraId="6F80F443" w14:textId="25C6DCAB" w:rsidR="2EFA8758" w:rsidRPr="00E204F6" w:rsidRDefault="0A315358" w:rsidP="00065FFC">
      <w:pPr>
        <w:spacing w:after="0"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i/>
          <w:iCs/>
          <w:color w:val="000000" w:themeColor="text1"/>
          <w:sz w:val="24"/>
          <w:szCs w:val="24"/>
          <w:lang w:val="en-US"/>
        </w:rPr>
        <w:t>Adverse events</w:t>
      </w:r>
    </w:p>
    <w:p w14:paraId="6D48DEB2" w14:textId="11425473" w:rsidR="2EFA8758" w:rsidRPr="00E204F6" w:rsidRDefault="0A315358" w:rsidP="76C0B922">
      <w:pPr>
        <w:spacing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color w:val="000000" w:themeColor="text1"/>
          <w:sz w:val="24"/>
          <w:szCs w:val="24"/>
          <w:lang w:val="en-US"/>
        </w:rPr>
        <w:t xml:space="preserve">Both treatment arms have adverse events (AEs), however with a different incidence. AEs that are of Grade 3, and higher and that have an incidence of at least 5% in </w:t>
      </w:r>
      <w:r w:rsidR="66C045CF" w:rsidRPr="00E204F6">
        <w:rPr>
          <w:rFonts w:ascii="Times New Roman" w:eastAsia="Times New Roman" w:hAnsi="Times New Roman" w:cs="Times New Roman"/>
          <w:color w:val="000000" w:themeColor="text1"/>
          <w:sz w:val="24"/>
          <w:szCs w:val="24"/>
          <w:lang w:val="en-US"/>
        </w:rPr>
        <w:t>either</w:t>
      </w:r>
      <w:r w:rsidRPr="00E204F6">
        <w:rPr>
          <w:rFonts w:ascii="Times New Roman" w:eastAsia="Times New Roman" w:hAnsi="Times New Roman" w:cs="Times New Roman"/>
          <w:color w:val="000000" w:themeColor="text1"/>
          <w:sz w:val="24"/>
          <w:szCs w:val="24"/>
          <w:lang w:val="en-US"/>
        </w:rPr>
        <w:t xml:space="preserve"> of the treatment arms are included in the calculation. The AEs that meet these requirements, together with their incidence per treatment arm, their treatment costs and the total cost of AEs per cycle, for </w:t>
      </w:r>
      <w:r w:rsidR="2E1C6553" w:rsidRPr="00E204F6">
        <w:rPr>
          <w:rFonts w:ascii="Times New Roman" w:eastAsia="Times New Roman" w:hAnsi="Times New Roman" w:cs="Times New Roman"/>
          <w:color w:val="000000" w:themeColor="text1"/>
          <w:sz w:val="24"/>
          <w:szCs w:val="24"/>
          <w:lang w:val="en-US"/>
        </w:rPr>
        <w:t>Mitoxantrone</w:t>
      </w:r>
      <w:r w:rsidRPr="00E204F6">
        <w:rPr>
          <w:rFonts w:ascii="Times New Roman" w:eastAsia="Times New Roman" w:hAnsi="Times New Roman" w:cs="Times New Roman"/>
          <w:color w:val="000000" w:themeColor="text1"/>
          <w:sz w:val="24"/>
          <w:szCs w:val="24"/>
          <w:lang w:val="en-US"/>
        </w:rPr>
        <w:t xml:space="preserve"> and </w:t>
      </w:r>
      <w:r w:rsidR="77EA56D4" w:rsidRPr="00E204F6">
        <w:rPr>
          <w:rFonts w:ascii="Times New Roman" w:eastAsia="Times New Roman" w:hAnsi="Times New Roman" w:cs="Times New Roman"/>
          <w:color w:val="000000" w:themeColor="text1"/>
          <w:sz w:val="24"/>
          <w:szCs w:val="24"/>
          <w:lang w:val="en-US"/>
        </w:rPr>
        <w:t>Cabazitaxel</w:t>
      </w:r>
      <w:r w:rsidRPr="00E204F6">
        <w:rPr>
          <w:rFonts w:ascii="Times New Roman" w:eastAsia="Times New Roman" w:hAnsi="Times New Roman" w:cs="Times New Roman"/>
          <w:color w:val="000000" w:themeColor="text1"/>
          <w:sz w:val="24"/>
          <w:szCs w:val="24"/>
          <w:lang w:val="en-US"/>
        </w:rPr>
        <w:t xml:space="preserve"> separately, are provided in </w:t>
      </w:r>
      <w:r w:rsidR="3A510701" w:rsidRPr="00E204F6">
        <w:rPr>
          <w:rFonts w:ascii="Times New Roman" w:eastAsia="Times New Roman" w:hAnsi="Times New Roman" w:cs="Times New Roman"/>
          <w:color w:val="000000" w:themeColor="text1"/>
          <w:sz w:val="24"/>
          <w:szCs w:val="24"/>
          <w:lang w:val="en-US"/>
        </w:rPr>
        <w:t>Table</w:t>
      </w:r>
      <w:r w:rsidRPr="00E204F6">
        <w:rPr>
          <w:rFonts w:ascii="Times New Roman" w:eastAsia="Times New Roman" w:hAnsi="Times New Roman" w:cs="Times New Roman"/>
          <w:color w:val="000000" w:themeColor="text1"/>
          <w:sz w:val="24"/>
          <w:szCs w:val="24"/>
          <w:lang w:val="en-US"/>
        </w:rPr>
        <w:t xml:space="preserve"> </w:t>
      </w:r>
      <w:r w:rsidR="647637F7" w:rsidRPr="00E204F6">
        <w:rPr>
          <w:rFonts w:ascii="Times New Roman" w:eastAsia="Times New Roman" w:hAnsi="Times New Roman" w:cs="Times New Roman"/>
          <w:color w:val="000000" w:themeColor="text1"/>
          <w:sz w:val="24"/>
          <w:szCs w:val="24"/>
          <w:lang w:val="en-US"/>
        </w:rPr>
        <w:t>4</w:t>
      </w:r>
      <w:r w:rsidRPr="00E204F6">
        <w:rPr>
          <w:rFonts w:ascii="Times New Roman" w:eastAsia="Times New Roman" w:hAnsi="Times New Roman" w:cs="Times New Roman"/>
          <w:color w:val="000000" w:themeColor="text1"/>
          <w:sz w:val="24"/>
          <w:szCs w:val="24"/>
          <w:lang w:val="en-US"/>
        </w:rPr>
        <w:t xml:space="preserve"> below. The cost of each AE is calculated by multiplying the incidence per treatment arm by the unit cost. After this, all costs for the AEs were added up to get the total costs of AEs per cycle, per treatment arm.</w:t>
      </w:r>
    </w:p>
    <w:p w14:paraId="450E44F2" w14:textId="21753122" w:rsidR="00D022AE" w:rsidRPr="00E204F6" w:rsidRDefault="0A315358" w:rsidP="76C0B922">
      <w:pPr>
        <w:spacing w:line="257" w:lineRule="auto"/>
        <w:rPr>
          <w:rFonts w:ascii="Times New Roman" w:eastAsia="Times New Roman" w:hAnsi="Times New Roman" w:cs="Times New Roman"/>
          <w:color w:val="000000" w:themeColor="text1"/>
          <w:sz w:val="24"/>
          <w:szCs w:val="24"/>
          <w:lang w:val="en-US"/>
        </w:rPr>
      </w:pPr>
      <w:r w:rsidRPr="4906B456">
        <w:rPr>
          <w:rFonts w:ascii="Times New Roman" w:eastAsia="Times New Roman" w:hAnsi="Times New Roman" w:cs="Times New Roman"/>
          <w:color w:val="000000" w:themeColor="text1"/>
          <w:sz w:val="24"/>
          <w:szCs w:val="24"/>
          <w:lang w:val="en-US"/>
        </w:rPr>
        <w:t xml:space="preserve">Even though fatigue and asthenia have the same unit costs, we chose to sample them differently, because fatigue is a temporary symptom while asthenia is chronic, which we also saw in the difference in average duration between the two. </w:t>
      </w:r>
    </w:p>
    <w:p w14:paraId="6171C73E" w14:textId="354CB6EC" w:rsidR="00D022AE" w:rsidRDefault="3A510701" w:rsidP="4317C20E">
      <w:pPr>
        <w:spacing w:line="257" w:lineRule="auto"/>
        <w:rPr>
          <w:rFonts w:ascii="Times New Roman" w:eastAsia="Times New Roman" w:hAnsi="Times New Roman" w:cs="Times New Roman"/>
          <w:color w:val="000000" w:themeColor="text1"/>
          <w:sz w:val="24"/>
          <w:szCs w:val="24"/>
          <w:lang w:val="en-US"/>
        </w:rPr>
      </w:pPr>
      <w:r w:rsidRPr="2E331EE9">
        <w:rPr>
          <w:rFonts w:ascii="Times New Roman" w:eastAsia="Times New Roman" w:hAnsi="Times New Roman" w:cs="Times New Roman"/>
          <w:b/>
          <w:bCs/>
          <w:color w:val="000000" w:themeColor="text1"/>
          <w:sz w:val="24"/>
          <w:szCs w:val="24"/>
          <w:lang w:val="en-US"/>
        </w:rPr>
        <w:t>Table</w:t>
      </w:r>
      <w:r w:rsidR="0A315358" w:rsidRPr="2E331EE9">
        <w:rPr>
          <w:rFonts w:ascii="Times New Roman" w:eastAsia="Times New Roman" w:hAnsi="Times New Roman" w:cs="Times New Roman"/>
          <w:b/>
          <w:bCs/>
          <w:color w:val="000000" w:themeColor="text1"/>
          <w:sz w:val="24"/>
          <w:szCs w:val="24"/>
          <w:lang w:val="en-US"/>
        </w:rPr>
        <w:t xml:space="preserve"> </w:t>
      </w:r>
      <w:r w:rsidR="47BD8E15" w:rsidRPr="2E331EE9">
        <w:rPr>
          <w:rFonts w:ascii="Times New Roman" w:eastAsia="Times New Roman" w:hAnsi="Times New Roman" w:cs="Times New Roman"/>
          <w:b/>
          <w:bCs/>
          <w:color w:val="000000" w:themeColor="text1"/>
          <w:sz w:val="24"/>
          <w:szCs w:val="24"/>
          <w:lang w:val="en-US"/>
        </w:rPr>
        <w:t>4</w:t>
      </w:r>
      <w:r w:rsidR="0A315358" w:rsidRPr="2E331EE9">
        <w:rPr>
          <w:rFonts w:ascii="Times New Roman" w:eastAsia="Times New Roman" w:hAnsi="Times New Roman" w:cs="Times New Roman"/>
          <w:b/>
          <w:bCs/>
          <w:color w:val="000000" w:themeColor="text1"/>
          <w:sz w:val="24"/>
          <w:szCs w:val="24"/>
          <w:lang w:val="en-US"/>
        </w:rPr>
        <w:t>. Incidence, treatment and total costs of adverse events</w:t>
      </w:r>
    </w:p>
    <w:p w14:paraId="2B7CF04E" w14:textId="035E5C4F" w:rsidR="00D022AE" w:rsidRDefault="3A510701" w:rsidP="4317C20E">
      <w:pPr>
        <w:spacing w:line="257" w:lineRule="auto"/>
        <w:rPr>
          <w:rFonts w:ascii="Times New Roman" w:eastAsia="Times New Roman" w:hAnsi="Times New Roman" w:cs="Times New Roman"/>
          <w:color w:val="000000" w:themeColor="text1"/>
          <w:sz w:val="24"/>
          <w:szCs w:val="24"/>
          <w:lang w:val="en-US"/>
        </w:rPr>
      </w:pPr>
      <w:r>
        <w:rPr>
          <w:noProof/>
        </w:rPr>
        <w:drawing>
          <wp:anchor distT="0" distB="0" distL="114300" distR="114300" simplePos="0" relativeHeight="251658244" behindDoc="0" locked="0" layoutInCell="1" allowOverlap="1" wp14:anchorId="1B3F1320" wp14:editId="1976F525">
            <wp:simplePos x="0" y="0"/>
            <wp:positionH relativeFrom="column">
              <wp:align>left</wp:align>
            </wp:positionH>
            <wp:positionV relativeFrom="paragraph">
              <wp:posOffset>0</wp:posOffset>
            </wp:positionV>
            <wp:extent cx="5087486" cy="4177276"/>
            <wp:effectExtent l="0" t="0" r="0" b="0"/>
            <wp:wrapNone/>
            <wp:docPr id="19210892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089264" name="Picture 1921089264"/>
                    <pic:cNvPicPr/>
                  </pic:nvPicPr>
                  <pic:blipFill>
                    <a:blip r:embed="rId14">
                      <a:extLst>
                        <a:ext uri="{28A0092B-C50C-407E-A947-70E740481C1C}">
                          <a14:useLocalDpi xmlns:a14="http://schemas.microsoft.com/office/drawing/2010/main"/>
                        </a:ext>
                      </a:extLst>
                    </a:blip>
                    <a:srcRect l="604"/>
                    <a:stretch>
                      <a:fillRect/>
                    </a:stretch>
                  </pic:blipFill>
                  <pic:spPr>
                    <a:xfrm>
                      <a:off x="0" y="0"/>
                      <a:ext cx="5087486" cy="4177276"/>
                    </a:xfrm>
                    <a:prstGeom prst="rect">
                      <a:avLst/>
                    </a:prstGeom>
                  </pic:spPr>
                </pic:pic>
              </a:graphicData>
            </a:graphic>
            <wp14:sizeRelH relativeFrom="page">
              <wp14:pctWidth>0</wp14:pctWidth>
            </wp14:sizeRelH>
            <wp14:sizeRelV relativeFrom="page">
              <wp14:pctHeight>0</wp14:pctHeight>
            </wp14:sizeRelV>
          </wp:anchor>
        </w:drawing>
      </w:r>
      <w:r>
        <w:br/>
      </w:r>
    </w:p>
    <w:p w14:paraId="3EA5CE2D" w14:textId="14A48934" w:rsidR="2EFA8758" w:rsidRPr="00E204F6" w:rsidRDefault="2EFA8758" w:rsidP="1241C279">
      <w:pPr>
        <w:spacing w:line="240" w:lineRule="auto"/>
        <w:rPr>
          <w:rFonts w:ascii="Times New Roman" w:eastAsia="Times New Roman" w:hAnsi="Times New Roman" w:cs="Times New Roman"/>
          <w:color w:val="000000" w:themeColor="text1"/>
          <w:sz w:val="24"/>
          <w:szCs w:val="24"/>
          <w:lang w:val="en-US"/>
        </w:rPr>
      </w:pPr>
    </w:p>
    <w:p w14:paraId="08A9D95D" w14:textId="6FD63454" w:rsidR="2EFA8758" w:rsidRPr="00E204F6" w:rsidRDefault="0A315358" w:rsidP="76C0B922">
      <w:pPr>
        <w:spacing w:line="240" w:lineRule="auto"/>
      </w:pPr>
      <w:r>
        <w:br w:type="page"/>
      </w:r>
    </w:p>
    <w:p w14:paraId="4E49A0CB" w14:textId="3698EB46" w:rsidR="2EFA8758" w:rsidRPr="00E204F6" w:rsidRDefault="0A315358" w:rsidP="1241C279">
      <w:pPr>
        <w:spacing w:line="240" w:lineRule="auto"/>
        <w:rPr>
          <w:rFonts w:ascii="Times New Roman" w:eastAsia="Times New Roman" w:hAnsi="Times New Roman" w:cs="Times New Roman"/>
          <w:color w:val="000000" w:themeColor="text1"/>
          <w:sz w:val="24"/>
          <w:szCs w:val="24"/>
          <w:lang w:val="en-US"/>
        </w:rPr>
      </w:pPr>
      <w:r w:rsidRPr="1241C279">
        <w:rPr>
          <w:rFonts w:ascii="Times New Roman" w:eastAsia="Times New Roman" w:hAnsi="Times New Roman" w:cs="Times New Roman"/>
          <w:color w:val="000000" w:themeColor="text1"/>
          <w:sz w:val="24"/>
          <w:szCs w:val="24"/>
          <w:lang w:val="en-US"/>
        </w:rPr>
        <w:lastRenderedPageBreak/>
        <w:t>After calculating the total cost of AEs per cycle, these costs were used as a lumpsum in the 1</w:t>
      </w:r>
      <w:r w:rsidRPr="1241C279">
        <w:rPr>
          <w:rFonts w:ascii="Times New Roman" w:eastAsia="Times New Roman" w:hAnsi="Times New Roman" w:cs="Times New Roman"/>
          <w:color w:val="000000" w:themeColor="text1"/>
          <w:sz w:val="24"/>
          <w:szCs w:val="24"/>
          <w:vertAlign w:val="superscript"/>
          <w:lang w:val="en-US"/>
        </w:rPr>
        <w:t>st</w:t>
      </w:r>
      <w:r w:rsidRPr="1241C279">
        <w:rPr>
          <w:rFonts w:ascii="Times New Roman" w:eastAsia="Times New Roman" w:hAnsi="Times New Roman" w:cs="Times New Roman"/>
          <w:color w:val="000000" w:themeColor="text1"/>
          <w:sz w:val="24"/>
          <w:szCs w:val="24"/>
          <w:lang w:val="en-US"/>
        </w:rPr>
        <w:t xml:space="preserve"> cycle of the model trace, applied to the whole cohort (</w:t>
      </w:r>
      <w:r w:rsidR="332101F0" w:rsidRPr="1241C279">
        <w:rPr>
          <w:rFonts w:ascii="Times New Roman" w:eastAsia="Times New Roman" w:hAnsi="Times New Roman" w:cs="Times New Roman"/>
          <w:i/>
          <w:iCs/>
          <w:color w:val="000000" w:themeColor="text1"/>
          <w:sz w:val="24"/>
          <w:szCs w:val="24"/>
          <w:lang w:val="en-US"/>
        </w:rPr>
        <w:t>n</w:t>
      </w:r>
      <w:r w:rsidR="332101F0" w:rsidRPr="1241C279">
        <w:rPr>
          <w:rFonts w:ascii="Times New Roman" w:eastAsia="Times New Roman" w:hAnsi="Times New Roman" w:cs="Times New Roman"/>
          <w:color w:val="000000" w:themeColor="text1"/>
          <w:sz w:val="24"/>
          <w:szCs w:val="24"/>
          <w:lang w:val="en-US"/>
        </w:rPr>
        <w:t xml:space="preserve"> = 1000)</w:t>
      </w:r>
      <w:r w:rsidRPr="1241C279">
        <w:rPr>
          <w:rFonts w:ascii="Times New Roman" w:eastAsia="Times New Roman" w:hAnsi="Times New Roman" w:cs="Times New Roman"/>
          <w:color w:val="000000" w:themeColor="text1"/>
          <w:sz w:val="24"/>
          <w:szCs w:val="24"/>
          <w:lang w:val="en-US"/>
        </w:rPr>
        <w:t>. This is done because it is uncertain when a patient will experience the AE. No half-cycle correction is applied here.</w:t>
      </w:r>
    </w:p>
    <w:p w14:paraId="79144EEE" w14:textId="179F5E03" w:rsidR="2EFA8758" w:rsidRPr="00E204F6" w:rsidRDefault="2EFA8758" w:rsidP="76C0B922">
      <w:pPr>
        <w:spacing w:line="240" w:lineRule="auto"/>
        <w:rPr>
          <w:rFonts w:ascii="Times New Roman" w:eastAsia="Times New Roman" w:hAnsi="Times New Roman" w:cs="Times New Roman"/>
          <w:color w:val="000000" w:themeColor="text1"/>
          <w:sz w:val="24"/>
          <w:szCs w:val="24"/>
          <w:lang w:val="en-US"/>
        </w:rPr>
      </w:pPr>
    </w:p>
    <w:p w14:paraId="1FA9A07B" w14:textId="2F6C9CC4" w:rsidR="2EFA8758" w:rsidRPr="00E204F6" w:rsidRDefault="0A315358" w:rsidP="00065FFC">
      <w:pPr>
        <w:spacing w:after="0"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i/>
          <w:iCs/>
          <w:color w:val="000000" w:themeColor="text1"/>
          <w:sz w:val="24"/>
          <w:szCs w:val="24"/>
          <w:lang w:val="en-US"/>
        </w:rPr>
        <w:t>Drug acquisition costs</w:t>
      </w:r>
    </w:p>
    <w:p w14:paraId="668950CC" w14:textId="3E9108CE" w:rsidR="2EFA8758" w:rsidRPr="00E204F6" w:rsidRDefault="77EA56D4" w:rsidP="76C0B922">
      <w:pPr>
        <w:spacing w:line="240"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color w:val="000000" w:themeColor="text1"/>
          <w:sz w:val="24"/>
          <w:szCs w:val="24"/>
          <w:lang w:val="en-US"/>
        </w:rPr>
        <w:t>Cabazitaxel</w:t>
      </w:r>
      <w:r w:rsidR="0A315358" w:rsidRPr="00E204F6">
        <w:rPr>
          <w:rFonts w:ascii="Times New Roman" w:eastAsia="Times New Roman" w:hAnsi="Times New Roman" w:cs="Times New Roman"/>
          <w:color w:val="000000" w:themeColor="text1"/>
          <w:sz w:val="24"/>
          <w:szCs w:val="24"/>
          <w:lang w:val="en-US"/>
        </w:rPr>
        <w:t xml:space="preserve"> is administered intravenously in one dose of 25 mg/m</w:t>
      </w:r>
      <w:r w:rsidR="0A315358" w:rsidRPr="00E204F6">
        <w:rPr>
          <w:rFonts w:ascii="Times New Roman" w:eastAsia="Times New Roman" w:hAnsi="Times New Roman" w:cs="Times New Roman"/>
          <w:color w:val="000000" w:themeColor="text1"/>
          <w:sz w:val="24"/>
          <w:szCs w:val="24"/>
          <w:vertAlign w:val="superscript"/>
          <w:lang w:val="en-US"/>
        </w:rPr>
        <w:t xml:space="preserve">2 </w:t>
      </w:r>
      <w:r w:rsidR="0A315358" w:rsidRPr="00E204F6">
        <w:rPr>
          <w:rFonts w:ascii="Times New Roman" w:eastAsia="Times New Roman" w:hAnsi="Times New Roman" w:cs="Times New Roman"/>
          <w:color w:val="000000" w:themeColor="text1"/>
          <w:sz w:val="24"/>
          <w:szCs w:val="24"/>
          <w:lang w:val="en-US"/>
        </w:rPr>
        <w:t xml:space="preserve">per cycle (Bono et al., 2010), where we used the cost price of a 60mg/1.5ml vial. </w:t>
      </w:r>
      <w:r w:rsidR="2E1C6553" w:rsidRPr="00E204F6">
        <w:rPr>
          <w:rFonts w:ascii="Times New Roman" w:eastAsia="Times New Roman" w:hAnsi="Times New Roman" w:cs="Times New Roman"/>
          <w:color w:val="000000" w:themeColor="text1"/>
          <w:sz w:val="24"/>
          <w:szCs w:val="24"/>
          <w:lang w:val="en-US"/>
        </w:rPr>
        <w:t>Mitoxantrone</w:t>
      </w:r>
      <w:r w:rsidR="0A315358" w:rsidRPr="00E204F6">
        <w:rPr>
          <w:rFonts w:ascii="Times New Roman" w:eastAsia="Times New Roman" w:hAnsi="Times New Roman" w:cs="Times New Roman"/>
          <w:color w:val="000000" w:themeColor="text1"/>
          <w:sz w:val="24"/>
          <w:szCs w:val="24"/>
          <w:lang w:val="en-US"/>
        </w:rPr>
        <w:t xml:space="preserve"> is administered </w:t>
      </w:r>
      <w:r w:rsidR="00A5318C">
        <w:rPr>
          <w:rFonts w:ascii="Times New Roman" w:eastAsia="Times New Roman" w:hAnsi="Times New Roman" w:cs="Times New Roman"/>
          <w:color w:val="000000" w:themeColor="text1"/>
          <w:sz w:val="24"/>
          <w:szCs w:val="24"/>
          <w:lang w:val="en-US"/>
        </w:rPr>
        <w:t xml:space="preserve"> </w:t>
      </w:r>
      <w:r w:rsidR="0A315358" w:rsidRPr="00E204F6">
        <w:rPr>
          <w:rFonts w:ascii="Times New Roman" w:eastAsia="Times New Roman" w:hAnsi="Times New Roman" w:cs="Times New Roman"/>
          <w:color w:val="000000" w:themeColor="text1"/>
          <w:sz w:val="24"/>
          <w:szCs w:val="24"/>
          <w:lang w:val="en-US"/>
        </w:rPr>
        <w:t>intravenously in one dose of 12 mg/ m</w:t>
      </w:r>
      <w:r w:rsidR="0A315358" w:rsidRPr="00E204F6">
        <w:rPr>
          <w:rFonts w:ascii="Times New Roman" w:eastAsia="Times New Roman" w:hAnsi="Times New Roman" w:cs="Times New Roman"/>
          <w:color w:val="000000" w:themeColor="text1"/>
          <w:sz w:val="24"/>
          <w:szCs w:val="24"/>
          <w:vertAlign w:val="superscript"/>
          <w:lang w:val="en-US"/>
        </w:rPr>
        <w:t xml:space="preserve">2 </w:t>
      </w:r>
      <w:r w:rsidR="0A315358" w:rsidRPr="00E204F6">
        <w:rPr>
          <w:rFonts w:ascii="Times New Roman" w:eastAsia="Times New Roman" w:hAnsi="Times New Roman" w:cs="Times New Roman"/>
          <w:color w:val="000000" w:themeColor="text1"/>
          <w:sz w:val="24"/>
          <w:szCs w:val="24"/>
          <w:lang w:val="en-US"/>
        </w:rPr>
        <w:t xml:space="preserve">every cycle </w:t>
      </w:r>
      <w:r w:rsidR="3AD504AA" w:rsidRPr="00E204F6">
        <w:rPr>
          <w:rFonts w:ascii="Times New Roman" w:eastAsia="Times New Roman" w:hAnsi="Times New Roman" w:cs="Times New Roman"/>
          <w:color w:val="000000" w:themeColor="text1"/>
          <w:sz w:val="24"/>
          <w:szCs w:val="24"/>
          <w:lang w:val="en-US"/>
        </w:rPr>
        <w:t>where a</w:t>
      </w:r>
      <w:r w:rsidR="0A315358" w:rsidRPr="00E204F6">
        <w:rPr>
          <w:rFonts w:ascii="Times New Roman" w:eastAsia="Times New Roman" w:hAnsi="Times New Roman" w:cs="Times New Roman"/>
          <w:color w:val="000000" w:themeColor="text1"/>
          <w:sz w:val="24"/>
          <w:szCs w:val="24"/>
          <w:lang w:val="en-US"/>
        </w:rPr>
        <w:t xml:space="preserve"> cost price of a 20mg/10ml vial is used. It is assumed that the vials are not shared between patients, resulting in wastage costs</w:t>
      </w:r>
      <w:r w:rsidR="386AB343" w:rsidRPr="00E204F6">
        <w:rPr>
          <w:rFonts w:ascii="Times New Roman" w:eastAsia="Times New Roman" w:hAnsi="Times New Roman" w:cs="Times New Roman"/>
          <w:color w:val="000000" w:themeColor="text1"/>
          <w:sz w:val="24"/>
          <w:szCs w:val="24"/>
          <w:lang w:val="en-US"/>
        </w:rPr>
        <w:t xml:space="preserve">. Based on the paper of De Bono et al. (2010), it is assumed </w:t>
      </w:r>
      <w:r w:rsidR="2B677544" w:rsidRPr="00E204F6">
        <w:rPr>
          <w:rFonts w:ascii="Times New Roman" w:eastAsia="Times New Roman" w:hAnsi="Times New Roman" w:cs="Times New Roman"/>
          <w:color w:val="000000" w:themeColor="text1"/>
          <w:sz w:val="24"/>
          <w:szCs w:val="24"/>
          <w:lang w:val="en-US"/>
        </w:rPr>
        <w:t>that</w:t>
      </w:r>
      <w:r w:rsidR="0A315358" w:rsidRPr="00E204F6">
        <w:rPr>
          <w:rFonts w:ascii="Times New Roman" w:eastAsia="Times New Roman" w:hAnsi="Times New Roman" w:cs="Times New Roman"/>
          <w:color w:val="000000" w:themeColor="text1"/>
          <w:sz w:val="24"/>
          <w:szCs w:val="24"/>
          <w:lang w:val="en-US"/>
        </w:rPr>
        <w:t xml:space="preserve"> patients have an average body surface of 2.01 m</w:t>
      </w:r>
      <w:r w:rsidR="0A315358" w:rsidRPr="00E204F6">
        <w:rPr>
          <w:rFonts w:ascii="Times New Roman" w:eastAsia="Times New Roman" w:hAnsi="Times New Roman" w:cs="Times New Roman"/>
          <w:color w:val="000000" w:themeColor="text1"/>
          <w:sz w:val="24"/>
          <w:szCs w:val="24"/>
          <w:vertAlign w:val="superscript"/>
          <w:lang w:val="en-US"/>
        </w:rPr>
        <w:t>2</w:t>
      </w:r>
      <w:r w:rsidR="7A19EEDF" w:rsidRPr="00E204F6">
        <w:rPr>
          <w:rFonts w:ascii="Times New Roman" w:eastAsia="Times New Roman" w:hAnsi="Times New Roman" w:cs="Times New Roman"/>
          <w:color w:val="000000" w:themeColor="text1"/>
          <w:sz w:val="24"/>
          <w:szCs w:val="24"/>
          <w:vertAlign w:val="superscript"/>
          <w:lang w:val="en-US"/>
        </w:rPr>
        <w:t>.</w:t>
      </w:r>
      <w:r w:rsidR="0A315358" w:rsidRPr="00E204F6">
        <w:rPr>
          <w:rFonts w:ascii="Times New Roman" w:eastAsia="Times New Roman" w:hAnsi="Times New Roman" w:cs="Times New Roman"/>
          <w:color w:val="000000" w:themeColor="text1"/>
          <w:sz w:val="24"/>
          <w:szCs w:val="24"/>
          <w:lang w:val="en-US"/>
        </w:rPr>
        <w:t xml:space="preserve"> The drug acquisition resource use and cost per cycle are presented in </w:t>
      </w:r>
      <w:r w:rsidR="3A510701" w:rsidRPr="00E204F6">
        <w:rPr>
          <w:rFonts w:ascii="Times New Roman" w:eastAsia="Times New Roman" w:hAnsi="Times New Roman" w:cs="Times New Roman"/>
          <w:color w:val="000000" w:themeColor="text1"/>
          <w:sz w:val="24"/>
          <w:szCs w:val="24"/>
          <w:lang w:val="en-US"/>
        </w:rPr>
        <w:t>Table</w:t>
      </w:r>
      <w:r w:rsidR="0931322F" w:rsidRPr="00E204F6">
        <w:rPr>
          <w:rFonts w:ascii="Times New Roman" w:eastAsia="Times New Roman" w:hAnsi="Times New Roman" w:cs="Times New Roman"/>
          <w:color w:val="000000" w:themeColor="text1"/>
          <w:sz w:val="24"/>
          <w:szCs w:val="24"/>
          <w:lang w:val="en-US"/>
        </w:rPr>
        <w:t xml:space="preserve"> 5</w:t>
      </w:r>
      <w:r w:rsidR="0A315358" w:rsidRPr="00E204F6">
        <w:rPr>
          <w:rFonts w:ascii="Times New Roman" w:eastAsia="Times New Roman" w:hAnsi="Times New Roman" w:cs="Times New Roman"/>
          <w:color w:val="000000" w:themeColor="text1"/>
          <w:sz w:val="24"/>
          <w:szCs w:val="24"/>
          <w:lang w:val="en-US"/>
        </w:rPr>
        <w:t>.</w:t>
      </w:r>
    </w:p>
    <w:p w14:paraId="5A19B46C" w14:textId="6240ECE6" w:rsidR="2EFA8758" w:rsidRPr="00E204F6" w:rsidRDefault="0A315358" w:rsidP="76C0B922">
      <w:pPr>
        <w:spacing w:line="240"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color w:val="000000" w:themeColor="text1"/>
          <w:sz w:val="24"/>
          <w:szCs w:val="24"/>
          <w:lang w:val="en-US"/>
        </w:rPr>
        <w:t>The dosage per cycle was calculated by the dose in mg/m</w:t>
      </w:r>
      <w:r w:rsidRPr="00E204F6">
        <w:rPr>
          <w:rFonts w:ascii="Times New Roman" w:eastAsia="Times New Roman" w:hAnsi="Times New Roman" w:cs="Times New Roman"/>
          <w:color w:val="000000" w:themeColor="text1"/>
          <w:sz w:val="24"/>
          <w:szCs w:val="24"/>
          <w:vertAlign w:val="superscript"/>
          <w:lang w:val="en-US"/>
        </w:rPr>
        <w:t xml:space="preserve">2 </w:t>
      </w:r>
      <w:r w:rsidRPr="00E204F6">
        <w:rPr>
          <w:rFonts w:ascii="Times New Roman" w:eastAsia="Times New Roman" w:hAnsi="Times New Roman" w:cs="Times New Roman"/>
          <w:color w:val="000000" w:themeColor="text1"/>
          <w:sz w:val="24"/>
          <w:szCs w:val="24"/>
          <w:lang w:val="en-US"/>
        </w:rPr>
        <w:t>multiplied by the average body surface. After this, the number of vials needed per cycle was calculated by dividing the dosage per cycle by the dosage per vial. It is rounded up to take into account that vials cannot be shared between patients. The total cost per cycle was then calculated by multiplying the vials acquisition cost with the number of vials needed per cycle, resulting in the total drug acquisition cost per cycle, per treatment arm.</w:t>
      </w:r>
    </w:p>
    <w:p w14:paraId="5EF4B411" w14:textId="70094723" w:rsidR="2EFA8758" w:rsidRPr="00E204F6" w:rsidRDefault="0A315358" w:rsidP="76C0B922">
      <w:pPr>
        <w:spacing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b/>
          <w:bCs/>
          <w:color w:val="000000" w:themeColor="text1"/>
          <w:sz w:val="24"/>
          <w:szCs w:val="24"/>
          <w:lang w:val="en-US"/>
        </w:rPr>
        <w:t>Tabl</w:t>
      </w:r>
      <w:r w:rsidR="2B04EE16" w:rsidRPr="00E204F6">
        <w:rPr>
          <w:rFonts w:ascii="Times New Roman" w:eastAsia="Times New Roman" w:hAnsi="Times New Roman" w:cs="Times New Roman"/>
          <w:b/>
          <w:bCs/>
          <w:color w:val="000000" w:themeColor="text1"/>
          <w:sz w:val="24"/>
          <w:szCs w:val="24"/>
          <w:lang w:val="en-US"/>
        </w:rPr>
        <w:t>e</w:t>
      </w:r>
      <w:r w:rsidRPr="00E204F6">
        <w:rPr>
          <w:rFonts w:ascii="Times New Roman" w:eastAsia="Times New Roman" w:hAnsi="Times New Roman" w:cs="Times New Roman"/>
          <w:b/>
          <w:bCs/>
          <w:color w:val="000000" w:themeColor="text1"/>
          <w:sz w:val="24"/>
          <w:szCs w:val="24"/>
          <w:lang w:val="en-US"/>
        </w:rPr>
        <w:t xml:space="preserve"> </w:t>
      </w:r>
      <w:r w:rsidR="5E6AB8FC" w:rsidRPr="00E204F6">
        <w:rPr>
          <w:rFonts w:ascii="Times New Roman" w:eastAsia="Times New Roman" w:hAnsi="Times New Roman" w:cs="Times New Roman"/>
          <w:b/>
          <w:bCs/>
          <w:color w:val="000000" w:themeColor="text1"/>
          <w:sz w:val="24"/>
          <w:szCs w:val="24"/>
          <w:lang w:val="en-US"/>
        </w:rPr>
        <w:t>5</w:t>
      </w:r>
      <w:r w:rsidRPr="00E204F6">
        <w:rPr>
          <w:rFonts w:ascii="Times New Roman" w:eastAsia="Times New Roman" w:hAnsi="Times New Roman" w:cs="Times New Roman"/>
          <w:b/>
          <w:bCs/>
          <w:color w:val="000000" w:themeColor="text1"/>
          <w:sz w:val="24"/>
          <w:szCs w:val="24"/>
          <w:lang w:val="en-US"/>
        </w:rPr>
        <w:t>. Drug acquisition resource use and cost per cycle</w:t>
      </w:r>
    </w:p>
    <w:p w14:paraId="45D5A374" w14:textId="0538989D" w:rsidR="2EFA8758" w:rsidRPr="00E204F6" w:rsidRDefault="00D022AE" w:rsidP="76C0B922">
      <w:pPr>
        <w:spacing w:line="257" w:lineRule="auto"/>
        <w:rPr>
          <w:rFonts w:ascii="Times New Roman" w:eastAsia="Times New Roman" w:hAnsi="Times New Roman" w:cs="Times New Roman"/>
          <w:color w:val="000000" w:themeColor="text1"/>
          <w:sz w:val="24"/>
          <w:szCs w:val="24"/>
          <w:lang w:val="en-US"/>
        </w:rPr>
      </w:pPr>
      <w:r w:rsidRPr="00D022AE">
        <w:rPr>
          <w:rFonts w:ascii="Times New Roman" w:eastAsia="Times New Roman" w:hAnsi="Times New Roman" w:cs="Times New Roman"/>
          <w:noProof/>
          <w:color w:val="000000" w:themeColor="text1"/>
          <w:sz w:val="24"/>
          <w:szCs w:val="24"/>
          <w:lang w:val="en-US"/>
        </w:rPr>
        <w:drawing>
          <wp:inline distT="0" distB="0" distL="0" distR="0" wp14:anchorId="67438517" wp14:editId="57282428">
            <wp:extent cx="5760720" cy="1695450"/>
            <wp:effectExtent l="0" t="0" r="0" b="0"/>
            <wp:docPr id="1140228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228096" name=""/>
                    <pic:cNvPicPr/>
                  </pic:nvPicPr>
                  <pic:blipFill>
                    <a:blip r:embed="rId15"/>
                    <a:stretch>
                      <a:fillRect/>
                    </a:stretch>
                  </pic:blipFill>
                  <pic:spPr>
                    <a:xfrm>
                      <a:off x="0" y="0"/>
                      <a:ext cx="5760720" cy="1695450"/>
                    </a:xfrm>
                    <a:prstGeom prst="rect">
                      <a:avLst/>
                    </a:prstGeom>
                  </pic:spPr>
                </pic:pic>
              </a:graphicData>
            </a:graphic>
          </wp:inline>
        </w:drawing>
      </w:r>
    </w:p>
    <w:p w14:paraId="3D0CC66C" w14:textId="407ACFE7" w:rsidR="2EFA8758" w:rsidRPr="00E204F6" w:rsidRDefault="0A315358" w:rsidP="76C0B922">
      <w:pPr>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color w:val="000000" w:themeColor="text1"/>
          <w:sz w:val="24"/>
          <w:szCs w:val="24"/>
          <w:lang w:val="en-US"/>
        </w:rPr>
        <w:t xml:space="preserve">After calculating the total drug acquisition costs per cycle, these costs were used in the first 10 cycles of the model trace, applied to the people in </w:t>
      </w:r>
      <w:r w:rsidR="246D506B" w:rsidRPr="00E204F6">
        <w:rPr>
          <w:rFonts w:ascii="Times New Roman" w:eastAsia="Times New Roman" w:hAnsi="Times New Roman" w:cs="Times New Roman"/>
          <w:color w:val="000000" w:themeColor="text1"/>
          <w:sz w:val="24"/>
          <w:szCs w:val="24"/>
          <w:lang w:val="en-US"/>
        </w:rPr>
        <w:t>SD</w:t>
      </w:r>
      <w:r w:rsidRPr="00E204F6">
        <w:rPr>
          <w:rFonts w:ascii="Times New Roman" w:eastAsia="Times New Roman" w:hAnsi="Times New Roman" w:cs="Times New Roman"/>
          <w:color w:val="000000" w:themeColor="text1"/>
          <w:sz w:val="24"/>
          <w:szCs w:val="24"/>
          <w:lang w:val="en-US"/>
        </w:rPr>
        <w:t>. To minimize the risk of toxicity, the maximum number of cycles for both arms is 10. No half cycle correction was used here, since the drugs are administered at the beginning of the cycle.</w:t>
      </w:r>
    </w:p>
    <w:p w14:paraId="0A42520B" w14:textId="77777777" w:rsidR="00065FFC" w:rsidRPr="00E204F6" w:rsidRDefault="00065FFC" w:rsidP="00065FFC">
      <w:pPr>
        <w:spacing w:after="0" w:line="257" w:lineRule="auto"/>
        <w:rPr>
          <w:rFonts w:ascii="Times New Roman" w:eastAsia="Times New Roman" w:hAnsi="Times New Roman" w:cs="Times New Roman"/>
          <w:i/>
          <w:iCs/>
          <w:color w:val="000000" w:themeColor="text1"/>
          <w:sz w:val="24"/>
          <w:szCs w:val="24"/>
          <w:lang w:val="en-US"/>
        </w:rPr>
      </w:pPr>
    </w:p>
    <w:p w14:paraId="087C7660" w14:textId="7E9DE40A" w:rsidR="2EFA8758" w:rsidRPr="00E204F6" w:rsidRDefault="0A315358" w:rsidP="00065FFC">
      <w:pPr>
        <w:spacing w:after="0"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i/>
          <w:iCs/>
          <w:color w:val="000000" w:themeColor="text1"/>
          <w:sz w:val="24"/>
          <w:szCs w:val="24"/>
          <w:lang w:val="en-US"/>
        </w:rPr>
        <w:t>Premedication costs</w:t>
      </w:r>
    </w:p>
    <w:p w14:paraId="4C1AE580" w14:textId="57EEEE49" w:rsidR="2EFA8758" w:rsidRPr="00E204F6" w:rsidRDefault="0A315358" w:rsidP="76C0B922">
      <w:pPr>
        <w:spacing w:line="240"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color w:val="000000" w:themeColor="text1"/>
          <w:sz w:val="24"/>
          <w:szCs w:val="24"/>
          <w:lang w:val="en-US"/>
        </w:rPr>
        <w:t xml:space="preserve">In both treatment arms, patients receive premedication once every cycle before the chemotherapy infusion to prevent some of the common adverse events. The percentage of patients in each arm that receive premedication is different, which is shown in </w:t>
      </w:r>
      <w:r w:rsidR="3A510701" w:rsidRPr="00E204F6">
        <w:rPr>
          <w:rFonts w:ascii="Times New Roman" w:eastAsia="Times New Roman" w:hAnsi="Times New Roman" w:cs="Times New Roman"/>
          <w:color w:val="000000" w:themeColor="text1"/>
          <w:sz w:val="24"/>
          <w:szCs w:val="24"/>
          <w:lang w:val="en-US"/>
        </w:rPr>
        <w:t>Table</w:t>
      </w:r>
      <w:r w:rsidRPr="00E204F6">
        <w:rPr>
          <w:rFonts w:ascii="Times New Roman" w:eastAsia="Times New Roman" w:hAnsi="Times New Roman" w:cs="Times New Roman"/>
          <w:color w:val="000000" w:themeColor="text1"/>
          <w:sz w:val="24"/>
          <w:szCs w:val="24"/>
          <w:lang w:val="en-US"/>
        </w:rPr>
        <w:t xml:space="preserve"> </w:t>
      </w:r>
      <w:r w:rsidR="29E51980" w:rsidRPr="00E204F6">
        <w:rPr>
          <w:rFonts w:ascii="Times New Roman" w:eastAsia="Times New Roman" w:hAnsi="Times New Roman" w:cs="Times New Roman"/>
          <w:color w:val="000000" w:themeColor="text1"/>
          <w:sz w:val="24"/>
          <w:szCs w:val="24"/>
          <w:lang w:val="en-US"/>
        </w:rPr>
        <w:t>6</w:t>
      </w:r>
      <w:r w:rsidRPr="00E204F6">
        <w:rPr>
          <w:rFonts w:ascii="Times New Roman" w:eastAsia="Times New Roman" w:hAnsi="Times New Roman" w:cs="Times New Roman"/>
          <w:color w:val="000000" w:themeColor="text1"/>
          <w:sz w:val="24"/>
          <w:szCs w:val="24"/>
          <w:lang w:val="en-US"/>
        </w:rPr>
        <w:t xml:space="preserve">. No wastage costs for premedication were assumed. The drug premedication resource use and cost per cycle are presented in </w:t>
      </w:r>
      <w:r w:rsidR="3A510701" w:rsidRPr="00E204F6">
        <w:rPr>
          <w:rFonts w:ascii="Times New Roman" w:eastAsia="Times New Roman" w:hAnsi="Times New Roman" w:cs="Times New Roman"/>
          <w:color w:val="000000" w:themeColor="text1"/>
          <w:sz w:val="24"/>
          <w:szCs w:val="24"/>
          <w:lang w:val="en-US"/>
        </w:rPr>
        <w:t>Table</w:t>
      </w:r>
      <w:r w:rsidRPr="00E204F6">
        <w:rPr>
          <w:rFonts w:ascii="Times New Roman" w:eastAsia="Times New Roman" w:hAnsi="Times New Roman" w:cs="Times New Roman"/>
          <w:color w:val="000000" w:themeColor="text1"/>
          <w:sz w:val="24"/>
          <w:szCs w:val="24"/>
          <w:lang w:val="en-US"/>
        </w:rPr>
        <w:t xml:space="preserve"> </w:t>
      </w:r>
      <w:r w:rsidR="2121CAF5" w:rsidRPr="00E204F6">
        <w:rPr>
          <w:rFonts w:ascii="Times New Roman" w:eastAsia="Times New Roman" w:hAnsi="Times New Roman" w:cs="Times New Roman"/>
          <w:color w:val="000000" w:themeColor="text1"/>
          <w:sz w:val="24"/>
          <w:szCs w:val="24"/>
          <w:lang w:val="en-US"/>
        </w:rPr>
        <w:t>6</w:t>
      </w:r>
      <w:r w:rsidRPr="00E204F6">
        <w:rPr>
          <w:rFonts w:ascii="Times New Roman" w:eastAsia="Times New Roman" w:hAnsi="Times New Roman" w:cs="Times New Roman"/>
          <w:color w:val="000000" w:themeColor="text1"/>
          <w:sz w:val="24"/>
          <w:szCs w:val="24"/>
          <w:lang w:val="en-US"/>
        </w:rPr>
        <w:t>.</w:t>
      </w:r>
    </w:p>
    <w:p w14:paraId="2A7C268F" w14:textId="7558E1C1" w:rsidR="2EFA8758" w:rsidRPr="00E204F6" w:rsidRDefault="0A315358" w:rsidP="76C0B922">
      <w:pPr>
        <w:spacing w:line="240"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color w:val="000000" w:themeColor="text1"/>
          <w:sz w:val="24"/>
          <w:szCs w:val="24"/>
          <w:lang w:val="en-US"/>
        </w:rPr>
        <w:t xml:space="preserve">The cost per </w:t>
      </w:r>
      <w:r w:rsidR="67396721" w:rsidRPr="00E204F6">
        <w:rPr>
          <w:rFonts w:ascii="Times New Roman" w:eastAsia="Times New Roman" w:hAnsi="Times New Roman" w:cs="Times New Roman"/>
          <w:color w:val="000000" w:themeColor="text1"/>
          <w:sz w:val="24"/>
          <w:szCs w:val="24"/>
          <w:lang w:val="en-US"/>
        </w:rPr>
        <w:t>tablet</w:t>
      </w:r>
      <w:r w:rsidRPr="00E204F6">
        <w:rPr>
          <w:rFonts w:ascii="Times New Roman" w:eastAsia="Times New Roman" w:hAnsi="Times New Roman" w:cs="Times New Roman"/>
          <w:color w:val="000000" w:themeColor="text1"/>
          <w:sz w:val="24"/>
          <w:szCs w:val="24"/>
          <w:lang w:val="en-US"/>
        </w:rPr>
        <w:t xml:space="preserve"> was calculated by dividing the cost per pack by the pack size. Since the dosage is given only once per cycle, it is also the cycle cost for each premedication, with not considering the percentage of patients receiving the premedication yet. To take this also into account, the cycle cost was multiplied by the prevalence in each arm. </w:t>
      </w:r>
    </w:p>
    <w:p w14:paraId="3655D5BD" w14:textId="77777777" w:rsidR="0061473B" w:rsidRDefault="0061473B" w:rsidP="76C0B922">
      <w:pPr>
        <w:spacing w:line="257" w:lineRule="auto"/>
        <w:rPr>
          <w:rFonts w:ascii="Times New Roman" w:eastAsia="Times New Roman" w:hAnsi="Times New Roman" w:cs="Times New Roman"/>
          <w:b/>
          <w:bCs/>
          <w:color w:val="000000" w:themeColor="text1"/>
          <w:sz w:val="24"/>
          <w:szCs w:val="24"/>
          <w:lang w:val="en-US"/>
        </w:rPr>
      </w:pPr>
    </w:p>
    <w:p w14:paraId="728F1289" w14:textId="0B9A37A8" w:rsidR="2EFA8758" w:rsidRPr="00E204F6" w:rsidRDefault="3A510701" w:rsidP="76C0B922">
      <w:pPr>
        <w:spacing w:line="257" w:lineRule="auto"/>
        <w:rPr>
          <w:rFonts w:ascii="Times New Roman" w:eastAsia="Times New Roman" w:hAnsi="Times New Roman" w:cs="Times New Roman"/>
          <w:b/>
          <w:bCs/>
          <w:color w:val="000000" w:themeColor="text1"/>
          <w:sz w:val="24"/>
          <w:szCs w:val="24"/>
          <w:lang w:val="en-US"/>
        </w:rPr>
      </w:pPr>
      <w:r w:rsidRPr="00E204F6">
        <w:rPr>
          <w:rFonts w:ascii="Times New Roman" w:eastAsia="Times New Roman" w:hAnsi="Times New Roman" w:cs="Times New Roman"/>
          <w:b/>
          <w:bCs/>
          <w:color w:val="000000" w:themeColor="text1"/>
          <w:sz w:val="24"/>
          <w:szCs w:val="24"/>
          <w:lang w:val="en-US"/>
        </w:rPr>
        <w:lastRenderedPageBreak/>
        <w:t>Table</w:t>
      </w:r>
      <w:r w:rsidR="0A315358" w:rsidRPr="00E204F6">
        <w:rPr>
          <w:rFonts w:ascii="Times New Roman" w:eastAsia="Times New Roman" w:hAnsi="Times New Roman" w:cs="Times New Roman"/>
          <w:b/>
          <w:bCs/>
          <w:color w:val="000000" w:themeColor="text1"/>
          <w:sz w:val="24"/>
          <w:szCs w:val="24"/>
          <w:lang w:val="en-US"/>
        </w:rPr>
        <w:t xml:space="preserve"> </w:t>
      </w:r>
      <w:r w:rsidR="336BC100" w:rsidRPr="00E204F6">
        <w:rPr>
          <w:rFonts w:ascii="Times New Roman" w:eastAsia="Times New Roman" w:hAnsi="Times New Roman" w:cs="Times New Roman"/>
          <w:b/>
          <w:bCs/>
          <w:color w:val="000000" w:themeColor="text1"/>
          <w:sz w:val="24"/>
          <w:szCs w:val="24"/>
          <w:lang w:val="en-US"/>
        </w:rPr>
        <w:t>6.</w:t>
      </w:r>
      <w:r w:rsidR="0A315358" w:rsidRPr="00E204F6">
        <w:rPr>
          <w:rFonts w:ascii="Times New Roman" w:eastAsia="Times New Roman" w:hAnsi="Times New Roman" w:cs="Times New Roman"/>
          <w:b/>
          <w:bCs/>
          <w:color w:val="000000" w:themeColor="text1"/>
          <w:sz w:val="24"/>
          <w:szCs w:val="24"/>
          <w:lang w:val="en-US"/>
        </w:rPr>
        <w:t xml:space="preserve"> Premedication resource use and cost per cycle</w:t>
      </w:r>
    </w:p>
    <w:p w14:paraId="2443A417" w14:textId="192A665E" w:rsidR="2EFA8758" w:rsidRPr="00E204F6" w:rsidRDefault="0061473B" w:rsidP="76C0B922">
      <w:pPr>
        <w:spacing w:line="257" w:lineRule="auto"/>
        <w:rPr>
          <w:rFonts w:ascii="Times New Roman" w:eastAsia="Times New Roman" w:hAnsi="Times New Roman" w:cs="Times New Roman"/>
          <w:color w:val="FF0000"/>
          <w:sz w:val="24"/>
          <w:szCs w:val="24"/>
          <w:lang w:val="en-US"/>
        </w:rPr>
      </w:pPr>
      <w:r>
        <w:rPr>
          <w:noProof/>
        </w:rPr>
        <w:drawing>
          <wp:inline distT="0" distB="0" distL="0" distR="0" wp14:anchorId="0AA5D83A" wp14:editId="1F9BD1A9">
            <wp:extent cx="5358404" cy="3827907"/>
            <wp:effectExtent l="0" t="0" r="0" b="0"/>
            <wp:docPr id="1604448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448871" name=""/>
                    <pic:cNvPicPr/>
                  </pic:nvPicPr>
                  <pic:blipFill>
                    <a:blip r:embed="rId16"/>
                    <a:srcRect l="1324"/>
                    <a:stretch>
                      <a:fillRect/>
                    </a:stretch>
                  </pic:blipFill>
                  <pic:spPr>
                    <a:xfrm>
                      <a:off x="0" y="0"/>
                      <a:ext cx="5358404" cy="3827907"/>
                    </a:xfrm>
                    <a:prstGeom prst="rect">
                      <a:avLst/>
                    </a:prstGeom>
                  </pic:spPr>
                </pic:pic>
              </a:graphicData>
            </a:graphic>
          </wp:inline>
        </w:drawing>
      </w:r>
    </w:p>
    <w:p w14:paraId="0417F072" w14:textId="4A522ADA" w:rsidR="2EFA8758" w:rsidRPr="00E204F6" w:rsidRDefault="0A315358" w:rsidP="76C0B922">
      <w:pPr>
        <w:spacing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color w:val="000000" w:themeColor="text1"/>
          <w:sz w:val="24"/>
          <w:szCs w:val="24"/>
          <w:lang w:val="en-US"/>
        </w:rPr>
        <w:t xml:space="preserve">For prophylaxis, one dose of G-SCF is administered before the chemotherapy, and further doses are taken once a day after the chemotherapy, with an average duration of 4.1 days (including the pre-chemo dose). This makes the average dosing per cycle also 4.1. The dosage is 0.005mg/kg and an average body weight of 70 kg is assumed, based on the De Bono et al. paper (2010). Multiplying these two values gives a dosage of 0.35mg. The unit cost of 193.88/mg for year 2020/2021, is adjusted to the 2023/2024 price index, by using the inflation index rates of NHSCII of 2021/2022 until 2023/2024, resulting in a cost of 222.64/mg. The cycle cost, unadjusted for the prevalence, is then given by the multiplication of the cost/mg, the dosing per cycle and the dosage. Multiplying this with the prevalence of patients receiving the premedication results in a cost per cycle of 81.12 and 32.77 pounds for </w:t>
      </w:r>
      <w:r w:rsidR="77EA56D4" w:rsidRPr="00E204F6">
        <w:rPr>
          <w:rFonts w:ascii="Times New Roman" w:eastAsia="Times New Roman" w:hAnsi="Times New Roman" w:cs="Times New Roman"/>
          <w:color w:val="000000" w:themeColor="text1"/>
          <w:sz w:val="24"/>
          <w:szCs w:val="24"/>
          <w:lang w:val="en-US"/>
        </w:rPr>
        <w:t>Cabazitaxel</w:t>
      </w:r>
      <w:r w:rsidRPr="00E204F6">
        <w:rPr>
          <w:rFonts w:ascii="Times New Roman" w:eastAsia="Times New Roman" w:hAnsi="Times New Roman" w:cs="Times New Roman"/>
          <w:color w:val="000000" w:themeColor="text1"/>
          <w:sz w:val="24"/>
          <w:szCs w:val="24"/>
          <w:lang w:val="en-US"/>
        </w:rPr>
        <w:t xml:space="preserve"> and </w:t>
      </w:r>
      <w:r w:rsidR="2E1C6553" w:rsidRPr="00E204F6">
        <w:rPr>
          <w:rFonts w:ascii="Times New Roman" w:eastAsia="Times New Roman" w:hAnsi="Times New Roman" w:cs="Times New Roman"/>
          <w:color w:val="000000" w:themeColor="text1"/>
          <w:sz w:val="24"/>
          <w:szCs w:val="24"/>
          <w:lang w:val="en-US"/>
        </w:rPr>
        <w:t>Mitoxantrone</w:t>
      </w:r>
      <w:r w:rsidRPr="00E204F6">
        <w:rPr>
          <w:rFonts w:ascii="Times New Roman" w:eastAsia="Times New Roman" w:hAnsi="Times New Roman" w:cs="Times New Roman"/>
          <w:color w:val="000000" w:themeColor="text1"/>
          <w:sz w:val="24"/>
          <w:szCs w:val="24"/>
          <w:lang w:val="en-US"/>
        </w:rPr>
        <w:t xml:space="preserve"> respectively. The sum of all the premedication cost resulted in the total drug premedication cost per cycle, per treatment arm, as given in </w:t>
      </w:r>
      <w:r w:rsidR="3A510701" w:rsidRPr="00E204F6">
        <w:rPr>
          <w:rFonts w:ascii="Times New Roman" w:eastAsia="Times New Roman" w:hAnsi="Times New Roman" w:cs="Times New Roman"/>
          <w:color w:val="000000" w:themeColor="text1"/>
          <w:sz w:val="24"/>
          <w:szCs w:val="24"/>
          <w:lang w:val="en-US"/>
        </w:rPr>
        <w:t>Table</w:t>
      </w:r>
      <w:r w:rsidRPr="00E204F6">
        <w:rPr>
          <w:rFonts w:ascii="Times New Roman" w:eastAsia="Times New Roman" w:hAnsi="Times New Roman" w:cs="Times New Roman"/>
          <w:color w:val="000000" w:themeColor="text1"/>
          <w:sz w:val="24"/>
          <w:szCs w:val="24"/>
          <w:lang w:val="en-US"/>
        </w:rPr>
        <w:t xml:space="preserve"> </w:t>
      </w:r>
      <w:r w:rsidR="293F0E6C" w:rsidRPr="00E204F6">
        <w:rPr>
          <w:rFonts w:ascii="Times New Roman" w:eastAsia="Times New Roman" w:hAnsi="Times New Roman" w:cs="Times New Roman"/>
          <w:color w:val="000000" w:themeColor="text1"/>
          <w:sz w:val="24"/>
          <w:szCs w:val="24"/>
          <w:lang w:val="en-US"/>
        </w:rPr>
        <w:t>6</w:t>
      </w:r>
      <w:r w:rsidRPr="00E204F6">
        <w:rPr>
          <w:rFonts w:ascii="Times New Roman" w:eastAsia="Times New Roman" w:hAnsi="Times New Roman" w:cs="Times New Roman"/>
          <w:color w:val="000000" w:themeColor="text1"/>
          <w:sz w:val="24"/>
          <w:szCs w:val="24"/>
          <w:lang w:val="en-US"/>
        </w:rPr>
        <w:t>.</w:t>
      </w:r>
    </w:p>
    <w:p w14:paraId="0A9F6F35" w14:textId="0B54D507" w:rsidR="2EFA8758" w:rsidRPr="00E204F6" w:rsidRDefault="0A315358" w:rsidP="76C0B922">
      <w:pPr>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color w:val="000000" w:themeColor="text1"/>
          <w:sz w:val="24"/>
          <w:szCs w:val="24"/>
          <w:lang w:val="en-US"/>
        </w:rPr>
        <w:t xml:space="preserve">After calculating the total premedication cost per cycle, these costs were used in the first 10 cycle of the model trace, applied to the people in </w:t>
      </w:r>
      <w:r w:rsidR="246D506B" w:rsidRPr="00E204F6">
        <w:rPr>
          <w:rFonts w:ascii="Times New Roman" w:eastAsia="Times New Roman" w:hAnsi="Times New Roman" w:cs="Times New Roman"/>
          <w:color w:val="000000" w:themeColor="text1"/>
          <w:sz w:val="24"/>
          <w:szCs w:val="24"/>
          <w:lang w:val="en-US"/>
        </w:rPr>
        <w:t>SD</w:t>
      </w:r>
      <w:r w:rsidRPr="00E204F6">
        <w:rPr>
          <w:rFonts w:ascii="Times New Roman" w:eastAsia="Times New Roman" w:hAnsi="Times New Roman" w:cs="Times New Roman"/>
          <w:color w:val="000000" w:themeColor="text1"/>
          <w:sz w:val="24"/>
          <w:szCs w:val="24"/>
          <w:lang w:val="en-US"/>
        </w:rPr>
        <w:t>. No half cycle correction was used here, since most of the premedication is given at the beginning of the cycle.</w:t>
      </w:r>
    </w:p>
    <w:p w14:paraId="32E65956" w14:textId="206EE056" w:rsidR="2EFA8758" w:rsidRPr="00E204F6" w:rsidRDefault="2EFA8758" w:rsidP="76C0B922">
      <w:pPr>
        <w:spacing w:line="257" w:lineRule="auto"/>
        <w:rPr>
          <w:rFonts w:ascii="Times New Roman" w:eastAsia="Times New Roman" w:hAnsi="Times New Roman" w:cs="Times New Roman"/>
          <w:color w:val="000000" w:themeColor="text1"/>
          <w:sz w:val="24"/>
          <w:szCs w:val="24"/>
          <w:lang w:val="en-US"/>
        </w:rPr>
      </w:pPr>
    </w:p>
    <w:p w14:paraId="5CA6D6A5" w14:textId="33435877" w:rsidR="4317C20E" w:rsidRDefault="4317C20E" w:rsidP="4317C20E">
      <w:pPr>
        <w:spacing w:line="257" w:lineRule="auto"/>
        <w:rPr>
          <w:rFonts w:ascii="Times New Roman" w:eastAsia="Times New Roman" w:hAnsi="Times New Roman" w:cs="Times New Roman"/>
          <w:color w:val="000000" w:themeColor="text1"/>
          <w:sz w:val="24"/>
          <w:szCs w:val="24"/>
          <w:lang w:val="en-US"/>
        </w:rPr>
      </w:pPr>
    </w:p>
    <w:p w14:paraId="4C178543" w14:textId="03EF8B3F" w:rsidR="4317C20E" w:rsidRDefault="4317C20E" w:rsidP="4317C20E">
      <w:pPr>
        <w:spacing w:line="257" w:lineRule="auto"/>
        <w:rPr>
          <w:rFonts w:ascii="Times New Roman" w:eastAsia="Times New Roman" w:hAnsi="Times New Roman" w:cs="Times New Roman"/>
          <w:color w:val="000000" w:themeColor="text1"/>
          <w:sz w:val="24"/>
          <w:szCs w:val="24"/>
          <w:lang w:val="en-US"/>
        </w:rPr>
      </w:pPr>
    </w:p>
    <w:p w14:paraId="74B82C7F" w14:textId="77777777" w:rsidR="00403F5A" w:rsidRDefault="00403F5A" w:rsidP="4317C20E">
      <w:pPr>
        <w:spacing w:line="257" w:lineRule="auto"/>
        <w:rPr>
          <w:rFonts w:ascii="Times New Roman" w:eastAsia="Times New Roman" w:hAnsi="Times New Roman" w:cs="Times New Roman"/>
          <w:color w:val="000000" w:themeColor="text1"/>
          <w:sz w:val="24"/>
          <w:szCs w:val="24"/>
          <w:lang w:val="en-US"/>
        </w:rPr>
      </w:pPr>
    </w:p>
    <w:p w14:paraId="2512313D" w14:textId="77777777" w:rsidR="00403F5A" w:rsidRDefault="00403F5A" w:rsidP="4317C20E">
      <w:pPr>
        <w:spacing w:line="257" w:lineRule="auto"/>
        <w:rPr>
          <w:rFonts w:ascii="Times New Roman" w:eastAsia="Times New Roman" w:hAnsi="Times New Roman" w:cs="Times New Roman"/>
          <w:color w:val="000000" w:themeColor="text1"/>
          <w:sz w:val="24"/>
          <w:szCs w:val="24"/>
          <w:lang w:val="en-US"/>
        </w:rPr>
      </w:pPr>
    </w:p>
    <w:p w14:paraId="4A429E11" w14:textId="77777777" w:rsidR="00403F5A" w:rsidRDefault="00403F5A" w:rsidP="4317C20E">
      <w:pPr>
        <w:spacing w:line="257" w:lineRule="auto"/>
        <w:rPr>
          <w:rFonts w:ascii="Times New Roman" w:eastAsia="Times New Roman" w:hAnsi="Times New Roman" w:cs="Times New Roman"/>
          <w:color w:val="000000" w:themeColor="text1"/>
          <w:sz w:val="24"/>
          <w:szCs w:val="24"/>
          <w:lang w:val="en-US"/>
        </w:rPr>
      </w:pPr>
    </w:p>
    <w:p w14:paraId="2CE7D3FA" w14:textId="5216D7FA" w:rsidR="2EFA8758" w:rsidRPr="00E204F6" w:rsidRDefault="0A315358" w:rsidP="00A5318C">
      <w:pPr>
        <w:spacing w:after="0"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i/>
          <w:iCs/>
          <w:color w:val="000000" w:themeColor="text1"/>
          <w:sz w:val="24"/>
          <w:szCs w:val="24"/>
          <w:lang w:val="en-US"/>
        </w:rPr>
        <w:lastRenderedPageBreak/>
        <w:t>Concomitant medication costs</w:t>
      </w:r>
    </w:p>
    <w:p w14:paraId="4622BE23" w14:textId="36CBB468" w:rsidR="2EFA8758" w:rsidRPr="00E204F6" w:rsidRDefault="336B9CA8" w:rsidP="76C0B922">
      <w:pPr>
        <w:spacing w:line="257" w:lineRule="auto"/>
        <w:rPr>
          <w:rFonts w:ascii="Times New Roman" w:eastAsia="Times New Roman" w:hAnsi="Times New Roman" w:cs="Times New Roman"/>
          <w:sz w:val="24"/>
          <w:szCs w:val="24"/>
          <w:lang w:val="en-US"/>
        </w:rPr>
      </w:pPr>
      <w:r w:rsidRPr="00E204F6">
        <w:rPr>
          <w:rFonts w:ascii="Times New Roman" w:eastAsia="Times New Roman" w:hAnsi="Times New Roman" w:cs="Times New Roman"/>
          <w:sz w:val="24"/>
          <w:szCs w:val="24"/>
          <w:lang w:val="en-US"/>
        </w:rPr>
        <w:t xml:space="preserve">The concomitant medication costs consist of a 5 mg </w:t>
      </w:r>
      <w:r w:rsidR="57E8F876" w:rsidRPr="00E204F6">
        <w:rPr>
          <w:rFonts w:ascii="Times New Roman" w:eastAsia="Times New Roman" w:hAnsi="Times New Roman" w:cs="Times New Roman"/>
          <w:sz w:val="24"/>
          <w:szCs w:val="24"/>
          <w:lang w:val="en-US"/>
        </w:rPr>
        <w:t>Prednisolone</w:t>
      </w:r>
      <w:r w:rsidRPr="00E204F6">
        <w:rPr>
          <w:rFonts w:ascii="Times New Roman" w:eastAsia="Times New Roman" w:hAnsi="Times New Roman" w:cs="Times New Roman"/>
          <w:sz w:val="24"/>
          <w:szCs w:val="24"/>
          <w:lang w:val="en-US"/>
        </w:rPr>
        <w:t xml:space="preserve"> </w:t>
      </w:r>
      <w:r w:rsidR="0A48A900" w:rsidRPr="00E204F6">
        <w:rPr>
          <w:rFonts w:ascii="Times New Roman" w:eastAsia="Times New Roman" w:hAnsi="Times New Roman" w:cs="Times New Roman"/>
          <w:sz w:val="24"/>
          <w:szCs w:val="24"/>
          <w:lang w:val="en-US"/>
        </w:rPr>
        <w:t>t</w:t>
      </w:r>
      <w:r w:rsidR="570DB8EB" w:rsidRPr="00E204F6">
        <w:rPr>
          <w:rFonts w:ascii="Times New Roman" w:eastAsia="Times New Roman" w:hAnsi="Times New Roman" w:cs="Times New Roman"/>
          <w:sz w:val="24"/>
          <w:szCs w:val="24"/>
          <w:lang w:val="en-US"/>
        </w:rPr>
        <w:t>ablet</w:t>
      </w:r>
      <w:r w:rsidRPr="00E204F6">
        <w:rPr>
          <w:rFonts w:ascii="Times New Roman" w:eastAsia="Times New Roman" w:hAnsi="Times New Roman" w:cs="Times New Roman"/>
          <w:sz w:val="24"/>
          <w:szCs w:val="24"/>
          <w:lang w:val="en-US"/>
        </w:rPr>
        <w:t xml:space="preserve"> twice per day, and an LHRH agonist (50% </w:t>
      </w:r>
      <w:proofErr w:type="spellStart"/>
      <w:r w:rsidRPr="00E204F6">
        <w:rPr>
          <w:rFonts w:ascii="Times New Roman" w:eastAsia="Times New Roman" w:hAnsi="Times New Roman" w:cs="Times New Roman"/>
          <w:sz w:val="24"/>
          <w:szCs w:val="24"/>
          <w:lang w:val="en-US"/>
        </w:rPr>
        <w:t>Leuroprorelin</w:t>
      </w:r>
      <w:proofErr w:type="spellEnd"/>
      <w:r w:rsidRPr="00E204F6">
        <w:rPr>
          <w:rFonts w:ascii="Times New Roman" w:eastAsia="Times New Roman" w:hAnsi="Times New Roman" w:cs="Times New Roman"/>
          <w:sz w:val="24"/>
          <w:szCs w:val="24"/>
          <w:lang w:val="en-US"/>
        </w:rPr>
        <w:t xml:space="preserve"> and 50% Goserelin). All patients receive this medication for the remainder of their lifetime. The concomitant medication resource use and cost per cycle are presented in </w:t>
      </w:r>
      <w:r w:rsidR="3A510701" w:rsidRPr="00E204F6">
        <w:rPr>
          <w:rFonts w:ascii="Times New Roman" w:eastAsia="Times New Roman" w:hAnsi="Times New Roman" w:cs="Times New Roman"/>
          <w:sz w:val="24"/>
          <w:szCs w:val="24"/>
          <w:lang w:val="en-US"/>
        </w:rPr>
        <w:t>Table</w:t>
      </w:r>
      <w:r w:rsidRPr="00E204F6">
        <w:rPr>
          <w:rFonts w:ascii="Times New Roman" w:eastAsia="Times New Roman" w:hAnsi="Times New Roman" w:cs="Times New Roman"/>
          <w:sz w:val="24"/>
          <w:szCs w:val="24"/>
          <w:lang w:val="en-US"/>
        </w:rPr>
        <w:t xml:space="preserve"> </w:t>
      </w:r>
      <w:r w:rsidR="58DCCA92" w:rsidRPr="00E204F6">
        <w:rPr>
          <w:rFonts w:ascii="Times New Roman" w:eastAsia="Times New Roman" w:hAnsi="Times New Roman" w:cs="Times New Roman"/>
          <w:sz w:val="24"/>
          <w:szCs w:val="24"/>
          <w:lang w:val="en-US"/>
        </w:rPr>
        <w:t>7</w:t>
      </w:r>
      <w:r w:rsidRPr="00E204F6">
        <w:rPr>
          <w:rFonts w:ascii="Times New Roman" w:eastAsia="Times New Roman" w:hAnsi="Times New Roman" w:cs="Times New Roman"/>
          <w:sz w:val="24"/>
          <w:szCs w:val="24"/>
          <w:lang w:val="en-US"/>
        </w:rPr>
        <w:t>.</w:t>
      </w:r>
    </w:p>
    <w:p w14:paraId="096255B1" w14:textId="185E196A" w:rsidR="2EFA8758" w:rsidRPr="00E204F6" w:rsidRDefault="336B9CA8" w:rsidP="76C0B922">
      <w:pPr>
        <w:spacing w:line="257" w:lineRule="auto"/>
        <w:rPr>
          <w:rFonts w:ascii="Times New Roman" w:eastAsia="Times New Roman" w:hAnsi="Times New Roman" w:cs="Times New Roman"/>
          <w:sz w:val="24"/>
          <w:szCs w:val="24"/>
          <w:lang w:val="en-US"/>
        </w:rPr>
      </w:pPr>
      <w:r w:rsidRPr="00E204F6">
        <w:rPr>
          <w:rFonts w:ascii="Times New Roman" w:eastAsia="Times New Roman" w:hAnsi="Times New Roman" w:cs="Times New Roman"/>
          <w:sz w:val="24"/>
          <w:szCs w:val="24"/>
          <w:lang w:val="en-US"/>
        </w:rPr>
        <w:t xml:space="preserve">The cost per </w:t>
      </w:r>
      <w:r w:rsidR="0F7C3629" w:rsidRPr="00E204F6">
        <w:rPr>
          <w:rFonts w:ascii="Times New Roman" w:eastAsia="Times New Roman" w:hAnsi="Times New Roman" w:cs="Times New Roman"/>
          <w:sz w:val="24"/>
          <w:szCs w:val="24"/>
          <w:lang w:val="en-US"/>
        </w:rPr>
        <w:t>t</w:t>
      </w:r>
      <w:r w:rsidR="62C2C47E" w:rsidRPr="00E204F6">
        <w:rPr>
          <w:rFonts w:ascii="Times New Roman" w:eastAsia="Times New Roman" w:hAnsi="Times New Roman" w:cs="Times New Roman"/>
          <w:sz w:val="24"/>
          <w:szCs w:val="24"/>
          <w:lang w:val="en-US"/>
        </w:rPr>
        <w:t>ablet</w:t>
      </w:r>
      <w:r w:rsidRPr="00E204F6">
        <w:rPr>
          <w:rFonts w:ascii="Times New Roman" w:eastAsia="Times New Roman" w:hAnsi="Times New Roman" w:cs="Times New Roman"/>
          <w:sz w:val="24"/>
          <w:szCs w:val="24"/>
          <w:lang w:val="en-US"/>
        </w:rPr>
        <w:t xml:space="preserve"> for </w:t>
      </w:r>
      <w:r w:rsidR="57E8F876" w:rsidRPr="00E204F6">
        <w:rPr>
          <w:rFonts w:ascii="Times New Roman" w:eastAsia="Times New Roman" w:hAnsi="Times New Roman" w:cs="Times New Roman"/>
          <w:sz w:val="24"/>
          <w:szCs w:val="24"/>
          <w:lang w:val="en-US"/>
        </w:rPr>
        <w:t>Prednisolone</w:t>
      </w:r>
      <w:r w:rsidRPr="00E204F6">
        <w:rPr>
          <w:rFonts w:ascii="Times New Roman" w:eastAsia="Times New Roman" w:hAnsi="Times New Roman" w:cs="Times New Roman"/>
          <w:sz w:val="24"/>
          <w:szCs w:val="24"/>
          <w:lang w:val="en-US"/>
        </w:rPr>
        <w:t xml:space="preserve"> was calculated by dividing the cost per pack by the pack size. Since the drug was taken twice per day, the dosage per cycle is 42 </w:t>
      </w:r>
      <w:r w:rsidR="266AA148" w:rsidRPr="00E204F6">
        <w:rPr>
          <w:rFonts w:ascii="Times New Roman" w:eastAsia="Times New Roman" w:hAnsi="Times New Roman" w:cs="Times New Roman"/>
          <w:sz w:val="24"/>
          <w:szCs w:val="24"/>
          <w:lang w:val="en-US"/>
        </w:rPr>
        <w:t>t</w:t>
      </w:r>
      <w:r w:rsidR="2816CB3B" w:rsidRPr="00E204F6">
        <w:rPr>
          <w:rFonts w:ascii="Times New Roman" w:eastAsia="Times New Roman" w:hAnsi="Times New Roman" w:cs="Times New Roman"/>
          <w:sz w:val="24"/>
          <w:szCs w:val="24"/>
          <w:lang w:val="en-US"/>
        </w:rPr>
        <w:t>ablet</w:t>
      </w:r>
      <w:r w:rsidRPr="00E204F6">
        <w:rPr>
          <w:rFonts w:ascii="Times New Roman" w:eastAsia="Times New Roman" w:hAnsi="Times New Roman" w:cs="Times New Roman"/>
          <w:sz w:val="24"/>
          <w:szCs w:val="24"/>
          <w:lang w:val="en-US"/>
        </w:rPr>
        <w:t xml:space="preserve">s. The cycle cost for </w:t>
      </w:r>
      <w:r w:rsidR="57E8F876" w:rsidRPr="00E204F6">
        <w:rPr>
          <w:rFonts w:ascii="Times New Roman" w:eastAsia="Times New Roman" w:hAnsi="Times New Roman" w:cs="Times New Roman"/>
          <w:sz w:val="24"/>
          <w:szCs w:val="24"/>
          <w:lang w:val="en-US"/>
        </w:rPr>
        <w:t>Prednisolone</w:t>
      </w:r>
      <w:r w:rsidRPr="00E204F6">
        <w:rPr>
          <w:rFonts w:ascii="Times New Roman" w:eastAsia="Times New Roman" w:hAnsi="Times New Roman" w:cs="Times New Roman"/>
          <w:sz w:val="24"/>
          <w:szCs w:val="24"/>
          <w:lang w:val="en-US"/>
        </w:rPr>
        <w:t xml:space="preserve"> was then obtained by multiplying the dosage per cycle by the cost per </w:t>
      </w:r>
      <w:r w:rsidR="36F1B749" w:rsidRPr="00E204F6">
        <w:rPr>
          <w:rFonts w:ascii="Times New Roman" w:eastAsia="Times New Roman" w:hAnsi="Times New Roman" w:cs="Times New Roman"/>
          <w:sz w:val="24"/>
          <w:szCs w:val="24"/>
          <w:lang w:val="en-US"/>
        </w:rPr>
        <w:t>t</w:t>
      </w:r>
      <w:r w:rsidR="1BE508A4" w:rsidRPr="00E204F6">
        <w:rPr>
          <w:rFonts w:ascii="Times New Roman" w:eastAsia="Times New Roman" w:hAnsi="Times New Roman" w:cs="Times New Roman"/>
          <w:sz w:val="24"/>
          <w:szCs w:val="24"/>
          <w:lang w:val="en-US"/>
        </w:rPr>
        <w:t>ablet</w:t>
      </w:r>
      <w:r w:rsidRPr="00E204F6">
        <w:rPr>
          <w:rFonts w:ascii="Times New Roman" w:eastAsia="Times New Roman" w:hAnsi="Times New Roman" w:cs="Times New Roman"/>
          <w:sz w:val="24"/>
          <w:szCs w:val="24"/>
          <w:lang w:val="en-US"/>
        </w:rPr>
        <w:t>. For the LHRH agonist, a recent NICE submission (NICE TA995) already contained a weighted cost per cycle of 77.31 pounds. The total concomitant medication cost per cycle is obtained by the sum of the cycle cost of each medication.</w:t>
      </w:r>
    </w:p>
    <w:p w14:paraId="6DF0C504" w14:textId="2DFE4C2C" w:rsidR="2EFA8758" w:rsidRPr="00E204F6" w:rsidRDefault="3A510701" w:rsidP="76C0B922">
      <w:pPr>
        <w:spacing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b/>
          <w:bCs/>
          <w:color w:val="000000" w:themeColor="text1"/>
          <w:sz w:val="24"/>
          <w:szCs w:val="24"/>
          <w:lang w:val="en-US"/>
        </w:rPr>
        <w:t>Table</w:t>
      </w:r>
      <w:r w:rsidR="0A315358" w:rsidRPr="00E204F6">
        <w:rPr>
          <w:rFonts w:ascii="Times New Roman" w:eastAsia="Times New Roman" w:hAnsi="Times New Roman" w:cs="Times New Roman"/>
          <w:b/>
          <w:bCs/>
          <w:color w:val="000000" w:themeColor="text1"/>
          <w:sz w:val="24"/>
          <w:szCs w:val="24"/>
          <w:lang w:val="en-US"/>
        </w:rPr>
        <w:t xml:space="preserve"> </w:t>
      </w:r>
      <w:r w:rsidR="46BBAC6C" w:rsidRPr="00E204F6">
        <w:rPr>
          <w:rFonts w:ascii="Times New Roman" w:eastAsia="Times New Roman" w:hAnsi="Times New Roman" w:cs="Times New Roman"/>
          <w:b/>
          <w:bCs/>
          <w:color w:val="000000" w:themeColor="text1"/>
          <w:sz w:val="24"/>
          <w:szCs w:val="24"/>
          <w:lang w:val="en-US"/>
        </w:rPr>
        <w:t>7</w:t>
      </w:r>
      <w:r w:rsidR="0A315358" w:rsidRPr="00E204F6">
        <w:rPr>
          <w:rFonts w:ascii="Times New Roman" w:eastAsia="Times New Roman" w:hAnsi="Times New Roman" w:cs="Times New Roman"/>
          <w:b/>
          <w:bCs/>
          <w:color w:val="000000" w:themeColor="text1"/>
          <w:sz w:val="24"/>
          <w:szCs w:val="24"/>
          <w:lang w:val="en-US"/>
        </w:rPr>
        <w:t>. Concomitant medication</w:t>
      </w:r>
      <w:r w:rsidR="0A315358" w:rsidRPr="00E204F6">
        <w:rPr>
          <w:rFonts w:ascii="Times New Roman" w:eastAsia="Times New Roman" w:hAnsi="Times New Roman" w:cs="Times New Roman"/>
          <w:color w:val="000000" w:themeColor="text1"/>
          <w:sz w:val="24"/>
          <w:szCs w:val="24"/>
          <w:lang w:val="en-US"/>
        </w:rPr>
        <w:t xml:space="preserve"> </w:t>
      </w:r>
      <w:r w:rsidR="0A315358" w:rsidRPr="00E204F6">
        <w:rPr>
          <w:rFonts w:ascii="Times New Roman" w:eastAsia="Times New Roman" w:hAnsi="Times New Roman" w:cs="Times New Roman"/>
          <w:b/>
          <w:bCs/>
          <w:color w:val="000000" w:themeColor="text1"/>
          <w:sz w:val="24"/>
          <w:szCs w:val="24"/>
          <w:lang w:val="en-US"/>
        </w:rPr>
        <w:t>resource use and cost per cycle</w:t>
      </w:r>
    </w:p>
    <w:p w14:paraId="2C46312E" w14:textId="2B4D5C59" w:rsidR="2EFA8758" w:rsidRPr="00E204F6" w:rsidRDefault="0061473B" w:rsidP="76C0B922">
      <w:pPr>
        <w:spacing w:line="257" w:lineRule="auto"/>
        <w:rPr>
          <w:rFonts w:ascii="Times New Roman" w:eastAsia="Times New Roman" w:hAnsi="Times New Roman" w:cs="Times New Roman"/>
          <w:color w:val="000000" w:themeColor="text1"/>
          <w:sz w:val="24"/>
          <w:szCs w:val="24"/>
          <w:lang w:val="en-US"/>
        </w:rPr>
      </w:pPr>
      <w:r>
        <w:rPr>
          <w:noProof/>
        </w:rPr>
        <w:drawing>
          <wp:inline distT="0" distB="0" distL="0" distR="0" wp14:anchorId="51DC828B" wp14:editId="6DE744E0">
            <wp:extent cx="5713079" cy="2958465"/>
            <wp:effectExtent l="0" t="0" r="0" b="0"/>
            <wp:docPr id="38180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80756" name=""/>
                    <pic:cNvPicPr/>
                  </pic:nvPicPr>
                  <pic:blipFill>
                    <a:blip r:embed="rId17"/>
                    <a:srcRect l="827"/>
                    <a:stretch>
                      <a:fillRect/>
                    </a:stretch>
                  </pic:blipFill>
                  <pic:spPr>
                    <a:xfrm>
                      <a:off x="0" y="0"/>
                      <a:ext cx="5713079" cy="2958465"/>
                    </a:xfrm>
                    <a:prstGeom prst="rect">
                      <a:avLst/>
                    </a:prstGeom>
                  </pic:spPr>
                </pic:pic>
              </a:graphicData>
            </a:graphic>
          </wp:inline>
        </w:drawing>
      </w:r>
    </w:p>
    <w:p w14:paraId="72B86FB7" w14:textId="3DD1D87F" w:rsidR="2EFA8758" w:rsidRPr="00E204F6" w:rsidRDefault="0A315358" w:rsidP="76C0B922">
      <w:pPr>
        <w:spacing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color w:val="000000" w:themeColor="text1"/>
          <w:sz w:val="24"/>
          <w:szCs w:val="24"/>
          <w:lang w:val="en-US"/>
        </w:rPr>
        <w:t xml:space="preserve">After calculating the total concomitant medication cost per cycle, these costs were used in each cycle of the model trace, applied to the people in </w:t>
      </w:r>
      <w:r w:rsidR="3A23AC49" w:rsidRPr="00E204F6">
        <w:rPr>
          <w:rFonts w:ascii="Times New Roman" w:eastAsia="Times New Roman" w:hAnsi="Times New Roman" w:cs="Times New Roman"/>
          <w:color w:val="000000" w:themeColor="text1"/>
          <w:sz w:val="24"/>
          <w:szCs w:val="24"/>
          <w:lang w:val="en-US"/>
        </w:rPr>
        <w:t>SD</w:t>
      </w:r>
      <w:r w:rsidRPr="00E204F6">
        <w:rPr>
          <w:rFonts w:ascii="Times New Roman" w:eastAsia="Times New Roman" w:hAnsi="Times New Roman" w:cs="Times New Roman"/>
          <w:color w:val="000000" w:themeColor="text1"/>
          <w:sz w:val="24"/>
          <w:szCs w:val="24"/>
          <w:lang w:val="en-US"/>
        </w:rPr>
        <w:t xml:space="preserve">. Half cycle correction was used here, since </w:t>
      </w:r>
      <w:r w:rsidR="57E8F876" w:rsidRPr="00E204F6">
        <w:rPr>
          <w:rFonts w:ascii="Times New Roman" w:eastAsia="Times New Roman" w:hAnsi="Times New Roman" w:cs="Times New Roman"/>
          <w:color w:val="000000" w:themeColor="text1"/>
          <w:sz w:val="24"/>
          <w:szCs w:val="24"/>
          <w:lang w:val="en-US"/>
        </w:rPr>
        <w:t>Prednisolone</w:t>
      </w:r>
      <w:r w:rsidRPr="00E204F6">
        <w:rPr>
          <w:rFonts w:ascii="Times New Roman" w:eastAsia="Times New Roman" w:hAnsi="Times New Roman" w:cs="Times New Roman"/>
          <w:color w:val="000000" w:themeColor="text1"/>
          <w:sz w:val="24"/>
          <w:szCs w:val="24"/>
          <w:lang w:val="en-US"/>
        </w:rPr>
        <w:t xml:space="preserve"> was taken twice each day and for the LHRH medication the moment of taking the medicine was unknown.</w:t>
      </w:r>
    </w:p>
    <w:p w14:paraId="66697F1C" w14:textId="77777777" w:rsidR="0061473B" w:rsidRDefault="0061473B" w:rsidP="0061473B">
      <w:pPr>
        <w:spacing w:after="0" w:line="257" w:lineRule="auto"/>
        <w:rPr>
          <w:rFonts w:ascii="Times New Roman" w:eastAsia="Times New Roman" w:hAnsi="Times New Roman" w:cs="Times New Roman"/>
          <w:i/>
          <w:iCs/>
          <w:color w:val="000000" w:themeColor="text1"/>
          <w:sz w:val="24"/>
          <w:szCs w:val="24"/>
          <w:lang w:val="en-US"/>
        </w:rPr>
      </w:pPr>
    </w:p>
    <w:p w14:paraId="1FFF34C4" w14:textId="1E3B5CF2" w:rsidR="2EFA8758" w:rsidRPr="00E204F6" w:rsidRDefault="0A315358" w:rsidP="0061473B">
      <w:pPr>
        <w:spacing w:after="0"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i/>
          <w:iCs/>
          <w:color w:val="000000" w:themeColor="text1"/>
          <w:sz w:val="24"/>
          <w:szCs w:val="24"/>
          <w:lang w:val="en-US"/>
        </w:rPr>
        <w:t>Chemotherapy administration costs</w:t>
      </w:r>
    </w:p>
    <w:p w14:paraId="100D7C10" w14:textId="7EC936B2" w:rsidR="2EFA8758" w:rsidRPr="00E204F6" w:rsidRDefault="62D7D5B1" w:rsidP="76C0B922">
      <w:pPr>
        <w:spacing w:line="257" w:lineRule="auto"/>
        <w:rPr>
          <w:rFonts w:ascii="Times New Roman" w:eastAsia="Times New Roman" w:hAnsi="Times New Roman" w:cs="Times New Roman"/>
          <w:sz w:val="24"/>
          <w:szCs w:val="24"/>
          <w:lang w:val="en-US"/>
        </w:rPr>
      </w:pPr>
      <w:r w:rsidRPr="00E204F6">
        <w:rPr>
          <w:rFonts w:ascii="Times New Roman" w:eastAsia="Times New Roman" w:hAnsi="Times New Roman" w:cs="Times New Roman"/>
          <w:sz w:val="24"/>
          <w:szCs w:val="24"/>
          <w:lang w:val="en-US"/>
        </w:rPr>
        <w:t xml:space="preserve">Since chemotherapy is administered via intravenous infusion, a medical professional is needed. It is assumed that the cost for this will consist of the preparation time of a pharmacist prior to the administration of the chemotherapy and an outpatient visit for the delivery of the chemotherapy, which is in line with the company submission from NICE TA391, </w:t>
      </w:r>
      <w:r w:rsidR="3A510701" w:rsidRPr="00E204F6">
        <w:rPr>
          <w:rFonts w:ascii="Times New Roman" w:eastAsia="Times New Roman" w:hAnsi="Times New Roman" w:cs="Times New Roman"/>
          <w:sz w:val="24"/>
          <w:szCs w:val="24"/>
          <w:lang w:val="en-US"/>
        </w:rPr>
        <w:t>Table</w:t>
      </w:r>
      <w:r w:rsidRPr="00E204F6">
        <w:rPr>
          <w:rFonts w:ascii="Times New Roman" w:eastAsia="Times New Roman" w:hAnsi="Times New Roman" w:cs="Times New Roman"/>
          <w:sz w:val="24"/>
          <w:szCs w:val="24"/>
          <w:lang w:val="en-US"/>
        </w:rPr>
        <w:t xml:space="preserve"> 64. We assume that patients have had chemotherapy before, meaning we use the cost of the delivery of a subsequent cycle of chemotherapy. Because of </w:t>
      </w:r>
      <w:r w:rsidR="580E7A4B" w:rsidRPr="00E204F6">
        <w:rPr>
          <w:rFonts w:ascii="Times New Roman" w:eastAsia="Times New Roman" w:hAnsi="Times New Roman" w:cs="Times New Roman"/>
          <w:sz w:val="24"/>
          <w:szCs w:val="24"/>
          <w:lang w:val="en-US"/>
        </w:rPr>
        <w:t>the absence</w:t>
      </w:r>
      <w:r w:rsidRPr="00E204F6">
        <w:rPr>
          <w:rFonts w:ascii="Times New Roman" w:eastAsia="Times New Roman" w:hAnsi="Times New Roman" w:cs="Times New Roman"/>
          <w:sz w:val="24"/>
          <w:szCs w:val="24"/>
          <w:lang w:val="en-US"/>
        </w:rPr>
        <w:t xml:space="preserve"> of the specific setting for the delivery of chemotherapy, the total unit cost of 430 pounds that includes all costs related to treatment administration, independent of the duration of the administration, is used. The chemotherapy administration resource use and cost per cycle are presented in </w:t>
      </w:r>
      <w:r w:rsidR="3A510701" w:rsidRPr="00E204F6">
        <w:rPr>
          <w:rFonts w:ascii="Times New Roman" w:eastAsia="Times New Roman" w:hAnsi="Times New Roman" w:cs="Times New Roman"/>
          <w:sz w:val="24"/>
          <w:szCs w:val="24"/>
          <w:lang w:val="en-US"/>
        </w:rPr>
        <w:t>Table</w:t>
      </w:r>
      <w:r w:rsidR="2008388C" w:rsidRPr="00E204F6">
        <w:rPr>
          <w:rFonts w:ascii="Times New Roman" w:eastAsia="Times New Roman" w:hAnsi="Times New Roman" w:cs="Times New Roman"/>
          <w:sz w:val="24"/>
          <w:szCs w:val="24"/>
          <w:lang w:val="en-US"/>
        </w:rPr>
        <w:t xml:space="preserve"> 8</w:t>
      </w:r>
      <w:r w:rsidRPr="00E204F6">
        <w:rPr>
          <w:rFonts w:ascii="Times New Roman" w:eastAsia="Times New Roman" w:hAnsi="Times New Roman" w:cs="Times New Roman"/>
          <w:sz w:val="24"/>
          <w:szCs w:val="24"/>
          <w:lang w:val="en-US"/>
        </w:rPr>
        <w:t>.</w:t>
      </w:r>
    </w:p>
    <w:p w14:paraId="26B19E29" w14:textId="3A8C5999" w:rsidR="2EFA8758" w:rsidRPr="00E204F6" w:rsidRDefault="62D7D5B1" w:rsidP="76C0B922">
      <w:pPr>
        <w:spacing w:line="257" w:lineRule="auto"/>
        <w:rPr>
          <w:rFonts w:ascii="Times New Roman" w:eastAsia="Times New Roman" w:hAnsi="Times New Roman" w:cs="Times New Roman"/>
          <w:sz w:val="24"/>
          <w:szCs w:val="24"/>
          <w:lang w:val="en-US"/>
        </w:rPr>
      </w:pPr>
      <w:r w:rsidRPr="00E204F6">
        <w:rPr>
          <w:rFonts w:ascii="Times New Roman" w:eastAsia="Times New Roman" w:hAnsi="Times New Roman" w:cs="Times New Roman"/>
          <w:sz w:val="24"/>
          <w:szCs w:val="24"/>
          <w:lang w:val="en-US"/>
        </w:rPr>
        <w:lastRenderedPageBreak/>
        <w:t xml:space="preserve">Per cycle </w:t>
      </w:r>
      <w:r w:rsidR="77EA56D4" w:rsidRPr="00E204F6">
        <w:rPr>
          <w:rFonts w:ascii="Times New Roman" w:eastAsia="Times New Roman" w:hAnsi="Times New Roman" w:cs="Times New Roman"/>
          <w:sz w:val="24"/>
          <w:szCs w:val="24"/>
          <w:lang w:val="en-US"/>
        </w:rPr>
        <w:t>Cabazitaxel</w:t>
      </w:r>
      <w:r w:rsidRPr="00E204F6">
        <w:rPr>
          <w:rFonts w:ascii="Times New Roman" w:eastAsia="Times New Roman" w:hAnsi="Times New Roman" w:cs="Times New Roman"/>
          <w:sz w:val="24"/>
          <w:szCs w:val="24"/>
          <w:lang w:val="en-US"/>
        </w:rPr>
        <w:t xml:space="preserve"> or </w:t>
      </w:r>
      <w:r w:rsidR="2E1C6553" w:rsidRPr="00E204F6">
        <w:rPr>
          <w:rFonts w:ascii="Times New Roman" w:eastAsia="Times New Roman" w:hAnsi="Times New Roman" w:cs="Times New Roman"/>
          <w:sz w:val="24"/>
          <w:szCs w:val="24"/>
          <w:lang w:val="en-US"/>
        </w:rPr>
        <w:t>Mitoxantrone</w:t>
      </w:r>
      <w:r w:rsidRPr="00E204F6">
        <w:rPr>
          <w:rFonts w:ascii="Times New Roman" w:eastAsia="Times New Roman" w:hAnsi="Times New Roman" w:cs="Times New Roman"/>
          <w:sz w:val="24"/>
          <w:szCs w:val="24"/>
          <w:lang w:val="en-US"/>
        </w:rPr>
        <w:t xml:space="preserve"> is only administered once. The cost of the pharmacist per cycle is then calculated by the hourly cost of the pharmacist multiplied by the preparation time in hours. The total administration cost per cycle is obtained by the sum of the pharmacist cost and the cost of outpatient visit per cycle.</w:t>
      </w:r>
    </w:p>
    <w:p w14:paraId="0A5575F0" w14:textId="77777777" w:rsidR="0061473B" w:rsidRDefault="0061473B" w:rsidP="76C0B922">
      <w:pPr>
        <w:spacing w:line="257" w:lineRule="auto"/>
        <w:rPr>
          <w:rFonts w:ascii="Times New Roman" w:eastAsia="Times New Roman" w:hAnsi="Times New Roman" w:cs="Times New Roman"/>
          <w:b/>
          <w:bCs/>
          <w:color w:val="000000" w:themeColor="text1"/>
          <w:sz w:val="24"/>
          <w:szCs w:val="24"/>
          <w:lang w:val="en-US"/>
        </w:rPr>
      </w:pPr>
    </w:p>
    <w:p w14:paraId="1481F0BA" w14:textId="783E5525" w:rsidR="2EFA8758" w:rsidRPr="00E204F6" w:rsidRDefault="3A510701" w:rsidP="76C0B922">
      <w:pPr>
        <w:spacing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b/>
          <w:bCs/>
          <w:color w:val="000000" w:themeColor="text1"/>
          <w:sz w:val="24"/>
          <w:szCs w:val="24"/>
          <w:lang w:val="en-US"/>
        </w:rPr>
        <w:t>Table</w:t>
      </w:r>
      <w:r w:rsidR="0A315358" w:rsidRPr="00E204F6">
        <w:rPr>
          <w:rFonts w:ascii="Times New Roman" w:eastAsia="Times New Roman" w:hAnsi="Times New Roman" w:cs="Times New Roman"/>
          <w:b/>
          <w:bCs/>
          <w:color w:val="000000" w:themeColor="text1"/>
          <w:sz w:val="24"/>
          <w:szCs w:val="24"/>
          <w:lang w:val="en-US"/>
        </w:rPr>
        <w:t xml:space="preserve"> </w:t>
      </w:r>
      <w:r w:rsidR="7B24C004" w:rsidRPr="00E204F6">
        <w:rPr>
          <w:rFonts w:ascii="Times New Roman" w:eastAsia="Times New Roman" w:hAnsi="Times New Roman" w:cs="Times New Roman"/>
          <w:b/>
          <w:bCs/>
          <w:color w:val="000000" w:themeColor="text1"/>
          <w:sz w:val="24"/>
          <w:szCs w:val="24"/>
          <w:lang w:val="en-US"/>
        </w:rPr>
        <w:t>8</w:t>
      </w:r>
      <w:r w:rsidR="0A315358" w:rsidRPr="00E204F6">
        <w:rPr>
          <w:rFonts w:ascii="Times New Roman" w:eastAsia="Times New Roman" w:hAnsi="Times New Roman" w:cs="Times New Roman"/>
          <w:b/>
          <w:bCs/>
          <w:color w:val="000000" w:themeColor="text1"/>
          <w:sz w:val="24"/>
          <w:szCs w:val="24"/>
          <w:lang w:val="en-US"/>
        </w:rPr>
        <w:t>. Chemotherapy administration</w:t>
      </w:r>
      <w:r w:rsidR="0A315358" w:rsidRPr="00E204F6">
        <w:rPr>
          <w:rFonts w:ascii="Times New Roman" w:eastAsia="Times New Roman" w:hAnsi="Times New Roman" w:cs="Times New Roman"/>
          <w:color w:val="000000" w:themeColor="text1"/>
          <w:sz w:val="24"/>
          <w:szCs w:val="24"/>
          <w:lang w:val="en-US"/>
        </w:rPr>
        <w:t xml:space="preserve"> </w:t>
      </w:r>
      <w:r w:rsidR="0A315358" w:rsidRPr="00E204F6">
        <w:rPr>
          <w:rFonts w:ascii="Times New Roman" w:eastAsia="Times New Roman" w:hAnsi="Times New Roman" w:cs="Times New Roman"/>
          <w:b/>
          <w:bCs/>
          <w:color w:val="000000" w:themeColor="text1"/>
          <w:sz w:val="24"/>
          <w:szCs w:val="24"/>
          <w:lang w:val="en-US"/>
        </w:rPr>
        <w:t>resource use and cost per cycle</w:t>
      </w:r>
    </w:p>
    <w:p w14:paraId="5561635D" w14:textId="7A6F70CF" w:rsidR="2EFA8758" w:rsidRPr="00E204F6" w:rsidRDefault="0061473B" w:rsidP="76C0B922">
      <w:pPr>
        <w:spacing w:line="257" w:lineRule="auto"/>
        <w:rPr>
          <w:rFonts w:ascii="Times New Roman" w:eastAsia="Times New Roman" w:hAnsi="Times New Roman" w:cs="Times New Roman"/>
          <w:color w:val="000000" w:themeColor="text1"/>
          <w:sz w:val="24"/>
          <w:szCs w:val="24"/>
          <w:lang w:val="en-US"/>
        </w:rPr>
      </w:pPr>
      <w:r w:rsidRPr="0061473B">
        <w:rPr>
          <w:rFonts w:ascii="Times New Roman" w:eastAsia="Times New Roman" w:hAnsi="Times New Roman" w:cs="Times New Roman"/>
          <w:noProof/>
          <w:color w:val="000000" w:themeColor="text1"/>
          <w:sz w:val="24"/>
          <w:szCs w:val="24"/>
          <w:lang w:val="en-US"/>
        </w:rPr>
        <w:drawing>
          <wp:inline distT="0" distB="0" distL="0" distR="0" wp14:anchorId="2047A5BE" wp14:editId="7A8A64E3">
            <wp:extent cx="5760720" cy="2842895"/>
            <wp:effectExtent l="0" t="0" r="0" b="0"/>
            <wp:docPr id="1382308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308833" name=""/>
                    <pic:cNvPicPr/>
                  </pic:nvPicPr>
                  <pic:blipFill>
                    <a:blip r:embed="rId18"/>
                    <a:stretch>
                      <a:fillRect/>
                    </a:stretch>
                  </pic:blipFill>
                  <pic:spPr>
                    <a:xfrm>
                      <a:off x="0" y="0"/>
                      <a:ext cx="5760720" cy="2842895"/>
                    </a:xfrm>
                    <a:prstGeom prst="rect">
                      <a:avLst/>
                    </a:prstGeom>
                  </pic:spPr>
                </pic:pic>
              </a:graphicData>
            </a:graphic>
          </wp:inline>
        </w:drawing>
      </w:r>
    </w:p>
    <w:p w14:paraId="17EC55F1" w14:textId="2410DB1B" w:rsidR="2EFA8758" w:rsidRPr="00E204F6" w:rsidRDefault="0A315358" w:rsidP="76C0B922">
      <w:pPr>
        <w:spacing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color w:val="000000" w:themeColor="text1"/>
          <w:sz w:val="24"/>
          <w:szCs w:val="24"/>
          <w:lang w:val="en-US"/>
        </w:rPr>
        <w:t xml:space="preserve">After calculating the total administration cost per cycle, these costs were used in the first 10 cycle of the model trace, applied to the people in the </w:t>
      </w:r>
      <w:r w:rsidR="53834809" w:rsidRPr="00E204F6">
        <w:rPr>
          <w:rFonts w:ascii="Times New Roman" w:eastAsia="Times New Roman" w:hAnsi="Times New Roman" w:cs="Times New Roman"/>
          <w:color w:val="000000" w:themeColor="text1"/>
          <w:sz w:val="24"/>
          <w:szCs w:val="24"/>
          <w:lang w:val="en-US"/>
        </w:rPr>
        <w:t>stable</w:t>
      </w:r>
      <w:r w:rsidRPr="00E204F6">
        <w:rPr>
          <w:rFonts w:ascii="Times New Roman" w:eastAsia="Times New Roman" w:hAnsi="Times New Roman" w:cs="Times New Roman"/>
          <w:color w:val="000000" w:themeColor="text1"/>
          <w:sz w:val="24"/>
          <w:szCs w:val="24"/>
          <w:lang w:val="en-US"/>
        </w:rPr>
        <w:t xml:space="preserve"> disease health state. No half cycle correction was used here, since chemotherapy is administered only once at the beginning of the cycle.</w:t>
      </w:r>
    </w:p>
    <w:p w14:paraId="0EAD2118" w14:textId="77777777" w:rsidR="0061473B" w:rsidRDefault="0061473B" w:rsidP="0061473B">
      <w:pPr>
        <w:spacing w:after="0" w:line="257" w:lineRule="auto"/>
        <w:rPr>
          <w:rFonts w:ascii="Times New Roman" w:eastAsia="Times New Roman" w:hAnsi="Times New Roman" w:cs="Times New Roman"/>
          <w:i/>
          <w:iCs/>
          <w:color w:val="000000" w:themeColor="text1"/>
          <w:sz w:val="24"/>
          <w:szCs w:val="24"/>
          <w:lang w:val="en-US"/>
        </w:rPr>
      </w:pPr>
    </w:p>
    <w:p w14:paraId="54E24F92" w14:textId="5B1D50AF" w:rsidR="2EFA8758" w:rsidRPr="00E204F6" w:rsidRDefault="0A315358" w:rsidP="0061473B">
      <w:pPr>
        <w:spacing w:after="0"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i/>
          <w:iCs/>
          <w:color w:val="000000" w:themeColor="text1"/>
          <w:sz w:val="24"/>
          <w:szCs w:val="24"/>
          <w:lang w:val="en-US"/>
        </w:rPr>
        <w:t>Health care resource use costs</w:t>
      </w:r>
    </w:p>
    <w:p w14:paraId="164DE66B" w14:textId="59394C5A" w:rsidR="2EFA8758" w:rsidRPr="00E204F6" w:rsidRDefault="47D22CBB" w:rsidP="76C0B922">
      <w:pPr>
        <w:spacing w:line="257" w:lineRule="auto"/>
        <w:rPr>
          <w:rFonts w:ascii="Times New Roman" w:eastAsia="Times New Roman" w:hAnsi="Times New Roman" w:cs="Times New Roman"/>
          <w:sz w:val="24"/>
          <w:szCs w:val="24"/>
          <w:lang w:val="en-US"/>
        </w:rPr>
      </w:pPr>
      <w:r w:rsidRPr="00E204F6">
        <w:rPr>
          <w:rFonts w:ascii="Times New Roman" w:eastAsia="Times New Roman" w:hAnsi="Times New Roman" w:cs="Times New Roman"/>
          <w:sz w:val="24"/>
          <w:szCs w:val="24"/>
          <w:lang w:val="en-US"/>
        </w:rPr>
        <w:t xml:space="preserve">There are a lot of different health care resources used, varying from inpatient to outpatient care. The average length of stay at the oncology and general ward is assumed to be 8.17 days. We chose to sample the average length of stay for the oncology and general ward differently, because these are two different departments specialized in different illnesses and symptoms. The fact that the average length of stay is the same in this case doesn't mean the wards are identical, and that's why we sample them differently. The same reasoning is used for the unit cost of the oncology, general and urology ward. The health care resource use and cost per cycle are presented in </w:t>
      </w:r>
      <w:r w:rsidR="3A510701" w:rsidRPr="00E204F6">
        <w:rPr>
          <w:rFonts w:ascii="Times New Roman" w:eastAsia="Times New Roman" w:hAnsi="Times New Roman" w:cs="Times New Roman"/>
          <w:sz w:val="24"/>
          <w:szCs w:val="24"/>
          <w:lang w:val="en-US"/>
        </w:rPr>
        <w:t>Table</w:t>
      </w:r>
      <w:r w:rsidRPr="00E204F6">
        <w:rPr>
          <w:rFonts w:ascii="Times New Roman" w:eastAsia="Times New Roman" w:hAnsi="Times New Roman" w:cs="Times New Roman"/>
          <w:sz w:val="24"/>
          <w:szCs w:val="24"/>
          <w:lang w:val="en-US"/>
        </w:rPr>
        <w:t xml:space="preserve"> </w:t>
      </w:r>
      <w:r w:rsidR="18DCE6DA" w:rsidRPr="00E204F6">
        <w:rPr>
          <w:rFonts w:ascii="Times New Roman" w:eastAsia="Times New Roman" w:hAnsi="Times New Roman" w:cs="Times New Roman"/>
          <w:sz w:val="24"/>
          <w:szCs w:val="24"/>
          <w:lang w:val="en-US"/>
        </w:rPr>
        <w:t>9</w:t>
      </w:r>
      <w:r w:rsidRPr="00E204F6">
        <w:rPr>
          <w:rFonts w:ascii="Times New Roman" w:eastAsia="Times New Roman" w:hAnsi="Times New Roman" w:cs="Times New Roman"/>
          <w:sz w:val="24"/>
          <w:szCs w:val="24"/>
          <w:lang w:val="en-US"/>
        </w:rPr>
        <w:t>.</w:t>
      </w:r>
    </w:p>
    <w:p w14:paraId="4F542B1F" w14:textId="3D08BDE8" w:rsidR="2EFA8758" w:rsidRDefault="47D22CBB" w:rsidP="76C0B922">
      <w:pPr>
        <w:spacing w:line="257" w:lineRule="auto"/>
        <w:rPr>
          <w:rFonts w:ascii="Times New Roman" w:eastAsia="Times New Roman" w:hAnsi="Times New Roman" w:cs="Times New Roman"/>
          <w:sz w:val="24"/>
          <w:szCs w:val="24"/>
          <w:lang w:val="en-US"/>
        </w:rPr>
      </w:pPr>
      <w:r w:rsidRPr="4317C20E">
        <w:rPr>
          <w:rFonts w:ascii="Times New Roman" w:eastAsia="Times New Roman" w:hAnsi="Times New Roman" w:cs="Times New Roman"/>
          <w:sz w:val="24"/>
          <w:szCs w:val="24"/>
          <w:lang w:val="en-US"/>
        </w:rPr>
        <w:t xml:space="preserve">The resource use per cycle was calculated by multiplying the resource use for 3 months by 3/13. After this, the health care resource use cost per cycle was calculated by multiplying the health care resource unit cost with the health care resource use per cycle, for the outpatient care. For the inpatient care, this is calculated by multiplying the unit cost (here the cost per 24h) with the health care resource use per cycle and with the average length of stay (in days) per visit. The total health care resource cost per cycle is the sum of all the separate resource cost per cycle, and it is the same for both the </w:t>
      </w:r>
      <w:r w:rsidR="77EA56D4" w:rsidRPr="4317C20E">
        <w:rPr>
          <w:rFonts w:ascii="Times New Roman" w:eastAsia="Times New Roman" w:hAnsi="Times New Roman" w:cs="Times New Roman"/>
          <w:sz w:val="24"/>
          <w:szCs w:val="24"/>
          <w:lang w:val="en-US"/>
        </w:rPr>
        <w:t>Cabazitaxel</w:t>
      </w:r>
      <w:r w:rsidRPr="4317C20E">
        <w:rPr>
          <w:rFonts w:ascii="Times New Roman" w:eastAsia="Times New Roman" w:hAnsi="Times New Roman" w:cs="Times New Roman"/>
          <w:sz w:val="24"/>
          <w:szCs w:val="24"/>
          <w:lang w:val="en-US"/>
        </w:rPr>
        <w:t xml:space="preserve"> and </w:t>
      </w:r>
      <w:r w:rsidR="2E1C6553" w:rsidRPr="4317C20E">
        <w:rPr>
          <w:rFonts w:ascii="Times New Roman" w:eastAsia="Times New Roman" w:hAnsi="Times New Roman" w:cs="Times New Roman"/>
          <w:sz w:val="24"/>
          <w:szCs w:val="24"/>
          <w:lang w:val="en-US"/>
        </w:rPr>
        <w:t>Mitoxantrone</w:t>
      </w:r>
      <w:r w:rsidRPr="4317C20E">
        <w:rPr>
          <w:rFonts w:ascii="Times New Roman" w:eastAsia="Times New Roman" w:hAnsi="Times New Roman" w:cs="Times New Roman"/>
          <w:sz w:val="24"/>
          <w:szCs w:val="24"/>
          <w:lang w:val="en-US"/>
        </w:rPr>
        <w:t xml:space="preserve"> arm.</w:t>
      </w:r>
    </w:p>
    <w:p w14:paraId="15FA3B6F" w14:textId="77777777" w:rsidR="00403F5A" w:rsidRPr="00E204F6" w:rsidRDefault="00403F5A" w:rsidP="76C0B922">
      <w:pPr>
        <w:spacing w:line="257" w:lineRule="auto"/>
        <w:rPr>
          <w:rFonts w:ascii="Times New Roman" w:eastAsia="Times New Roman" w:hAnsi="Times New Roman" w:cs="Times New Roman"/>
          <w:sz w:val="24"/>
          <w:szCs w:val="24"/>
          <w:lang w:val="en-US"/>
        </w:rPr>
      </w:pPr>
    </w:p>
    <w:p w14:paraId="2AE0C46F" w14:textId="55A0BBE1" w:rsidR="2EFA8758" w:rsidRDefault="3A510701" w:rsidP="76C0B922">
      <w:pPr>
        <w:spacing w:line="257" w:lineRule="auto"/>
        <w:rPr>
          <w:rFonts w:ascii="Times New Roman" w:eastAsia="Times New Roman" w:hAnsi="Times New Roman" w:cs="Times New Roman"/>
          <w:b/>
          <w:bCs/>
          <w:color w:val="000000" w:themeColor="text1"/>
          <w:sz w:val="24"/>
          <w:szCs w:val="24"/>
          <w:lang w:val="en-US"/>
        </w:rPr>
      </w:pPr>
      <w:r w:rsidRPr="00E204F6">
        <w:rPr>
          <w:rFonts w:ascii="Times New Roman" w:eastAsia="Times New Roman" w:hAnsi="Times New Roman" w:cs="Times New Roman"/>
          <w:b/>
          <w:bCs/>
          <w:color w:val="000000" w:themeColor="text1"/>
          <w:sz w:val="24"/>
          <w:szCs w:val="24"/>
          <w:lang w:val="en-US"/>
        </w:rPr>
        <w:lastRenderedPageBreak/>
        <w:t>Table</w:t>
      </w:r>
      <w:r w:rsidR="0A315358" w:rsidRPr="00E204F6">
        <w:rPr>
          <w:rFonts w:ascii="Times New Roman" w:eastAsia="Times New Roman" w:hAnsi="Times New Roman" w:cs="Times New Roman"/>
          <w:b/>
          <w:bCs/>
          <w:color w:val="000000" w:themeColor="text1"/>
          <w:sz w:val="24"/>
          <w:szCs w:val="24"/>
          <w:lang w:val="en-US"/>
        </w:rPr>
        <w:t xml:space="preserve"> </w:t>
      </w:r>
      <w:r w:rsidR="2DE63829" w:rsidRPr="00E204F6">
        <w:rPr>
          <w:rFonts w:ascii="Times New Roman" w:eastAsia="Times New Roman" w:hAnsi="Times New Roman" w:cs="Times New Roman"/>
          <w:b/>
          <w:bCs/>
          <w:color w:val="000000" w:themeColor="text1"/>
          <w:sz w:val="24"/>
          <w:szCs w:val="24"/>
          <w:lang w:val="en-US"/>
        </w:rPr>
        <w:t>9</w:t>
      </w:r>
      <w:r w:rsidR="0A315358" w:rsidRPr="00E204F6">
        <w:rPr>
          <w:rFonts w:ascii="Times New Roman" w:eastAsia="Times New Roman" w:hAnsi="Times New Roman" w:cs="Times New Roman"/>
          <w:b/>
          <w:bCs/>
          <w:color w:val="000000" w:themeColor="text1"/>
          <w:sz w:val="24"/>
          <w:szCs w:val="24"/>
          <w:lang w:val="en-US"/>
        </w:rPr>
        <w:t>.</w:t>
      </w:r>
      <w:r w:rsidR="0A315358" w:rsidRPr="00E204F6">
        <w:rPr>
          <w:rFonts w:ascii="Times New Roman" w:eastAsia="Times New Roman" w:hAnsi="Times New Roman" w:cs="Times New Roman"/>
          <w:color w:val="000000" w:themeColor="text1"/>
          <w:sz w:val="24"/>
          <w:szCs w:val="24"/>
          <w:lang w:val="en-US"/>
        </w:rPr>
        <w:t xml:space="preserve"> </w:t>
      </w:r>
      <w:r w:rsidR="0A315358" w:rsidRPr="00E204F6">
        <w:rPr>
          <w:rFonts w:ascii="Times New Roman" w:eastAsia="Times New Roman" w:hAnsi="Times New Roman" w:cs="Times New Roman"/>
          <w:b/>
          <w:bCs/>
          <w:color w:val="000000" w:themeColor="text1"/>
          <w:sz w:val="24"/>
          <w:szCs w:val="24"/>
          <w:lang w:val="en-US"/>
        </w:rPr>
        <w:t>Health care</w:t>
      </w:r>
      <w:r w:rsidR="0A315358" w:rsidRPr="00E204F6">
        <w:rPr>
          <w:rFonts w:ascii="Times New Roman" w:eastAsia="Times New Roman" w:hAnsi="Times New Roman" w:cs="Times New Roman"/>
          <w:color w:val="000000" w:themeColor="text1"/>
          <w:sz w:val="24"/>
          <w:szCs w:val="24"/>
          <w:lang w:val="en-US"/>
        </w:rPr>
        <w:t xml:space="preserve"> </w:t>
      </w:r>
      <w:r w:rsidR="0A315358" w:rsidRPr="00E204F6">
        <w:rPr>
          <w:rFonts w:ascii="Times New Roman" w:eastAsia="Times New Roman" w:hAnsi="Times New Roman" w:cs="Times New Roman"/>
          <w:b/>
          <w:bCs/>
          <w:color w:val="000000" w:themeColor="text1"/>
          <w:sz w:val="24"/>
          <w:szCs w:val="24"/>
          <w:lang w:val="en-US"/>
        </w:rPr>
        <w:t>resource use and cost per cycle</w:t>
      </w:r>
    </w:p>
    <w:p w14:paraId="48873013" w14:textId="263550B1" w:rsidR="2EFA8758" w:rsidRPr="00E204F6" w:rsidRDefault="0061473B" w:rsidP="4317C20E">
      <w:pPr>
        <w:spacing w:line="257" w:lineRule="auto"/>
        <w:rPr>
          <w:rFonts w:ascii="Times New Roman" w:eastAsia="Times New Roman" w:hAnsi="Times New Roman" w:cs="Times New Roman"/>
          <w:color w:val="000000" w:themeColor="text1"/>
          <w:sz w:val="24"/>
          <w:szCs w:val="24"/>
          <w:lang w:val="en-US"/>
        </w:rPr>
      </w:pPr>
      <w:r>
        <w:rPr>
          <w:noProof/>
        </w:rPr>
        <w:drawing>
          <wp:inline distT="0" distB="0" distL="0" distR="0" wp14:anchorId="238C32EA" wp14:editId="43FB267E">
            <wp:extent cx="5713079" cy="6049010"/>
            <wp:effectExtent l="0" t="0" r="0" b="0"/>
            <wp:docPr id="1826441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441554" name=""/>
                    <pic:cNvPicPr/>
                  </pic:nvPicPr>
                  <pic:blipFill>
                    <a:blip r:embed="rId19"/>
                    <a:srcRect l="827"/>
                    <a:stretch>
                      <a:fillRect/>
                    </a:stretch>
                  </pic:blipFill>
                  <pic:spPr>
                    <a:xfrm>
                      <a:off x="0" y="0"/>
                      <a:ext cx="5713079" cy="6049010"/>
                    </a:xfrm>
                    <a:prstGeom prst="rect">
                      <a:avLst/>
                    </a:prstGeom>
                  </pic:spPr>
                </pic:pic>
              </a:graphicData>
            </a:graphic>
          </wp:inline>
        </w:drawing>
      </w:r>
    </w:p>
    <w:p w14:paraId="46080C6E" w14:textId="79A6FD86" w:rsidR="2EFA8758" w:rsidRPr="00E204F6" w:rsidRDefault="0A315358" w:rsidP="76C0B922">
      <w:pPr>
        <w:spacing w:line="257" w:lineRule="auto"/>
        <w:rPr>
          <w:rFonts w:ascii="Times New Roman" w:eastAsia="Times New Roman" w:hAnsi="Times New Roman" w:cs="Times New Roman"/>
          <w:color w:val="000000" w:themeColor="text1"/>
          <w:sz w:val="24"/>
          <w:szCs w:val="24"/>
          <w:lang w:val="en-US"/>
        </w:rPr>
      </w:pPr>
      <w:r w:rsidRPr="4317C20E">
        <w:rPr>
          <w:rFonts w:ascii="Times New Roman" w:eastAsia="Times New Roman" w:hAnsi="Times New Roman" w:cs="Times New Roman"/>
          <w:color w:val="000000" w:themeColor="text1"/>
          <w:sz w:val="24"/>
          <w:szCs w:val="24"/>
          <w:lang w:val="en-US"/>
        </w:rPr>
        <w:t xml:space="preserve">After calculating the total health care resource cost per cycle, these costs were used in each cycle of the model trace, applied to the people in </w:t>
      </w:r>
      <w:r w:rsidR="3A23AC49" w:rsidRPr="4317C20E">
        <w:rPr>
          <w:rFonts w:ascii="Times New Roman" w:eastAsia="Times New Roman" w:hAnsi="Times New Roman" w:cs="Times New Roman"/>
          <w:color w:val="000000" w:themeColor="text1"/>
          <w:sz w:val="24"/>
          <w:szCs w:val="24"/>
          <w:lang w:val="en-US"/>
        </w:rPr>
        <w:t>SD</w:t>
      </w:r>
      <w:r w:rsidRPr="4317C20E">
        <w:rPr>
          <w:rFonts w:ascii="Times New Roman" w:eastAsia="Times New Roman" w:hAnsi="Times New Roman" w:cs="Times New Roman"/>
          <w:color w:val="000000" w:themeColor="text1"/>
          <w:sz w:val="24"/>
          <w:szCs w:val="24"/>
          <w:lang w:val="en-US"/>
        </w:rPr>
        <w:t>. Half cycle correction was applied here, since it is unknown when patients use healthcare resources.</w:t>
      </w:r>
    </w:p>
    <w:p w14:paraId="6C37A3CE" w14:textId="7EB5D609" w:rsidR="2EFA8758" w:rsidRPr="00E204F6" w:rsidRDefault="2EFA8758" w:rsidP="76C0B922">
      <w:pPr>
        <w:spacing w:line="257" w:lineRule="auto"/>
        <w:rPr>
          <w:rFonts w:ascii="Times New Roman" w:eastAsia="Times New Roman" w:hAnsi="Times New Roman" w:cs="Times New Roman"/>
          <w:color w:val="FF0000"/>
          <w:sz w:val="24"/>
          <w:szCs w:val="24"/>
          <w:lang w:val="en-US"/>
        </w:rPr>
      </w:pPr>
    </w:p>
    <w:p w14:paraId="36A97284" w14:textId="50A33B98" w:rsidR="4317C20E" w:rsidRDefault="4317C20E" w:rsidP="4317C20E">
      <w:pPr>
        <w:spacing w:line="257" w:lineRule="auto"/>
        <w:rPr>
          <w:rFonts w:ascii="Times New Roman" w:eastAsia="Times New Roman" w:hAnsi="Times New Roman" w:cs="Times New Roman"/>
          <w:color w:val="FF0000"/>
          <w:sz w:val="24"/>
          <w:szCs w:val="24"/>
          <w:lang w:val="en-US"/>
        </w:rPr>
      </w:pPr>
    </w:p>
    <w:p w14:paraId="2F48EE17" w14:textId="2C5B8F41" w:rsidR="4317C20E" w:rsidRDefault="4317C20E" w:rsidP="4317C20E">
      <w:pPr>
        <w:spacing w:line="257" w:lineRule="auto"/>
        <w:rPr>
          <w:rFonts w:ascii="Times New Roman" w:eastAsia="Times New Roman" w:hAnsi="Times New Roman" w:cs="Times New Roman"/>
          <w:color w:val="FF0000"/>
          <w:sz w:val="24"/>
          <w:szCs w:val="24"/>
          <w:lang w:val="en-US"/>
        </w:rPr>
      </w:pPr>
    </w:p>
    <w:p w14:paraId="19B7714A" w14:textId="7535D1B3" w:rsidR="4317C20E" w:rsidRDefault="4317C20E" w:rsidP="4317C20E">
      <w:pPr>
        <w:spacing w:line="257" w:lineRule="auto"/>
        <w:rPr>
          <w:rFonts w:ascii="Times New Roman" w:eastAsia="Times New Roman" w:hAnsi="Times New Roman" w:cs="Times New Roman"/>
          <w:color w:val="FF0000"/>
          <w:sz w:val="24"/>
          <w:szCs w:val="24"/>
          <w:lang w:val="en-US"/>
        </w:rPr>
      </w:pPr>
    </w:p>
    <w:p w14:paraId="6939A864" w14:textId="174ED832" w:rsidR="4317C20E" w:rsidRDefault="4317C20E" w:rsidP="4317C20E">
      <w:pPr>
        <w:spacing w:line="257" w:lineRule="auto"/>
        <w:rPr>
          <w:rFonts w:ascii="Times New Roman" w:eastAsia="Times New Roman" w:hAnsi="Times New Roman" w:cs="Times New Roman"/>
          <w:color w:val="FF0000"/>
          <w:sz w:val="24"/>
          <w:szCs w:val="24"/>
          <w:lang w:val="en-US"/>
        </w:rPr>
      </w:pPr>
    </w:p>
    <w:p w14:paraId="14D3E799" w14:textId="66B88362" w:rsidR="4317C20E" w:rsidRDefault="4317C20E" w:rsidP="4317C20E">
      <w:pPr>
        <w:spacing w:line="257" w:lineRule="auto"/>
        <w:rPr>
          <w:rFonts w:ascii="Times New Roman" w:eastAsia="Times New Roman" w:hAnsi="Times New Roman" w:cs="Times New Roman"/>
          <w:color w:val="FF0000"/>
          <w:sz w:val="24"/>
          <w:szCs w:val="24"/>
          <w:lang w:val="en-US"/>
        </w:rPr>
      </w:pPr>
    </w:p>
    <w:p w14:paraId="02FBCA78" w14:textId="4D347118" w:rsidR="2EFA8758" w:rsidRPr="00E204F6" w:rsidRDefault="0A315358" w:rsidP="76C0B922">
      <w:pPr>
        <w:spacing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b/>
          <w:bCs/>
          <w:color w:val="000000" w:themeColor="text1"/>
          <w:sz w:val="24"/>
          <w:szCs w:val="24"/>
        </w:rPr>
        <w:lastRenderedPageBreak/>
        <w:t>Progressed disease health state costs</w:t>
      </w:r>
    </w:p>
    <w:p w14:paraId="5936DAC8" w14:textId="67A457BE" w:rsidR="2EFA8758" w:rsidRPr="00E204F6" w:rsidRDefault="0A315358" w:rsidP="000F0D46">
      <w:pPr>
        <w:spacing w:after="0"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i/>
          <w:iCs/>
          <w:color w:val="000000" w:themeColor="text1"/>
          <w:sz w:val="24"/>
          <w:szCs w:val="24"/>
          <w:lang w:val="en-US"/>
        </w:rPr>
        <w:t>Drug acquisition costs</w:t>
      </w:r>
    </w:p>
    <w:p w14:paraId="3A587F2C" w14:textId="48D33255" w:rsidR="2EFA8758" w:rsidRPr="00E204F6" w:rsidRDefault="04F54EBA" w:rsidP="000F0D46">
      <w:pPr>
        <w:spacing w:after="0" w:line="257" w:lineRule="auto"/>
        <w:rPr>
          <w:rFonts w:ascii="Times New Roman" w:eastAsia="Times New Roman" w:hAnsi="Times New Roman" w:cs="Times New Roman"/>
          <w:sz w:val="24"/>
          <w:szCs w:val="24"/>
          <w:lang w:val="en-US"/>
        </w:rPr>
      </w:pPr>
      <w:r w:rsidRPr="00E204F6">
        <w:rPr>
          <w:rFonts w:ascii="Times New Roman" w:eastAsia="Times New Roman" w:hAnsi="Times New Roman" w:cs="Times New Roman"/>
          <w:sz w:val="24"/>
          <w:szCs w:val="24"/>
          <w:lang w:val="en-US"/>
        </w:rPr>
        <w:t xml:space="preserve">In the TROPIC study (De Bono et al., 2010) 447 patients progressed, where 197 received only supportive care and the other 250 patients were in addition to this provided with further chemotherapy. According to observational data from the UK, three types of treatment are considered after patients with </w:t>
      </w:r>
      <w:r w:rsidR="77EA56D4" w:rsidRPr="00E204F6">
        <w:rPr>
          <w:rFonts w:ascii="Times New Roman" w:eastAsia="Times New Roman" w:hAnsi="Times New Roman" w:cs="Times New Roman"/>
          <w:sz w:val="24"/>
          <w:szCs w:val="24"/>
          <w:lang w:val="en-US"/>
        </w:rPr>
        <w:t>Cabazitaxel</w:t>
      </w:r>
      <w:r w:rsidRPr="00E204F6">
        <w:rPr>
          <w:rFonts w:ascii="Times New Roman" w:eastAsia="Times New Roman" w:hAnsi="Times New Roman" w:cs="Times New Roman"/>
          <w:sz w:val="24"/>
          <w:szCs w:val="24"/>
          <w:lang w:val="en-US"/>
        </w:rPr>
        <w:t xml:space="preserve"> have progressed, namely Docetaxel, </w:t>
      </w:r>
      <w:r w:rsidR="2E1C6553" w:rsidRPr="00E204F6">
        <w:rPr>
          <w:rFonts w:ascii="Times New Roman" w:eastAsia="Times New Roman" w:hAnsi="Times New Roman" w:cs="Times New Roman"/>
          <w:sz w:val="24"/>
          <w:szCs w:val="24"/>
          <w:lang w:val="en-US"/>
        </w:rPr>
        <w:t>Mitoxantrone</w:t>
      </w:r>
      <w:r w:rsidRPr="00E204F6">
        <w:rPr>
          <w:rFonts w:ascii="Times New Roman" w:eastAsia="Times New Roman" w:hAnsi="Times New Roman" w:cs="Times New Roman"/>
          <w:sz w:val="24"/>
          <w:szCs w:val="24"/>
          <w:lang w:val="en-US"/>
        </w:rPr>
        <w:t xml:space="preserve"> and Carboplatin-based regimens. For the </w:t>
      </w:r>
      <w:r w:rsidR="2E1C6553" w:rsidRPr="00E204F6">
        <w:rPr>
          <w:rFonts w:ascii="Times New Roman" w:eastAsia="Times New Roman" w:hAnsi="Times New Roman" w:cs="Times New Roman"/>
          <w:sz w:val="24"/>
          <w:szCs w:val="24"/>
          <w:lang w:val="en-US"/>
        </w:rPr>
        <w:t>Mitoxantrone</w:t>
      </w:r>
      <w:r w:rsidRPr="00E204F6">
        <w:rPr>
          <w:rFonts w:ascii="Times New Roman" w:eastAsia="Times New Roman" w:hAnsi="Times New Roman" w:cs="Times New Roman"/>
          <w:sz w:val="24"/>
          <w:szCs w:val="24"/>
          <w:lang w:val="en-US"/>
        </w:rPr>
        <w:t xml:space="preserve"> arm, it is assumed that patients only receive Docetaxel or Carboplatin-based regimens when they progress. The proportions of the patients receiving each additional line of post-second line chemotherapy are provided in </w:t>
      </w:r>
      <w:r w:rsidR="3A510701" w:rsidRPr="00E204F6">
        <w:rPr>
          <w:rFonts w:ascii="Times New Roman" w:eastAsia="Times New Roman" w:hAnsi="Times New Roman" w:cs="Times New Roman"/>
          <w:sz w:val="24"/>
          <w:szCs w:val="24"/>
          <w:lang w:val="en-US"/>
        </w:rPr>
        <w:t>Table</w:t>
      </w:r>
      <w:r w:rsidRPr="00E204F6">
        <w:rPr>
          <w:rFonts w:ascii="Times New Roman" w:eastAsia="Times New Roman" w:hAnsi="Times New Roman" w:cs="Times New Roman"/>
          <w:sz w:val="24"/>
          <w:szCs w:val="24"/>
          <w:lang w:val="en-US"/>
        </w:rPr>
        <w:t xml:space="preserve"> </w:t>
      </w:r>
      <w:r w:rsidR="1B5B8509" w:rsidRPr="00E204F6">
        <w:rPr>
          <w:rFonts w:ascii="Times New Roman" w:eastAsia="Times New Roman" w:hAnsi="Times New Roman" w:cs="Times New Roman"/>
          <w:sz w:val="24"/>
          <w:szCs w:val="24"/>
          <w:lang w:val="en-US"/>
        </w:rPr>
        <w:t>10</w:t>
      </w:r>
      <w:r w:rsidRPr="00E204F6">
        <w:rPr>
          <w:rFonts w:ascii="Times New Roman" w:eastAsia="Times New Roman" w:hAnsi="Times New Roman" w:cs="Times New Roman"/>
          <w:sz w:val="24"/>
          <w:szCs w:val="24"/>
          <w:lang w:val="en-US"/>
        </w:rPr>
        <w:t xml:space="preserve">. They are calculated by dividing the number of patients per treatment by the total number of patients (6+3+2 for </w:t>
      </w:r>
      <w:r w:rsidR="77EA56D4" w:rsidRPr="00E204F6">
        <w:rPr>
          <w:rFonts w:ascii="Times New Roman" w:eastAsia="Times New Roman" w:hAnsi="Times New Roman" w:cs="Times New Roman"/>
          <w:sz w:val="24"/>
          <w:szCs w:val="24"/>
          <w:lang w:val="en-US"/>
        </w:rPr>
        <w:t>Cabazitaxel</w:t>
      </w:r>
      <w:r w:rsidRPr="00E204F6">
        <w:rPr>
          <w:rFonts w:ascii="Times New Roman" w:eastAsia="Times New Roman" w:hAnsi="Times New Roman" w:cs="Times New Roman"/>
          <w:sz w:val="24"/>
          <w:szCs w:val="24"/>
          <w:lang w:val="en-US"/>
        </w:rPr>
        <w:t xml:space="preserve"> and 6+3 for </w:t>
      </w:r>
      <w:r w:rsidR="2E1C6553" w:rsidRPr="00E204F6">
        <w:rPr>
          <w:rFonts w:ascii="Times New Roman" w:eastAsia="Times New Roman" w:hAnsi="Times New Roman" w:cs="Times New Roman"/>
          <w:sz w:val="24"/>
          <w:szCs w:val="24"/>
          <w:lang w:val="en-US"/>
        </w:rPr>
        <w:t>Mitoxantrone</w:t>
      </w:r>
      <w:r w:rsidRPr="00E204F6">
        <w:rPr>
          <w:rFonts w:ascii="Times New Roman" w:eastAsia="Times New Roman" w:hAnsi="Times New Roman" w:cs="Times New Roman"/>
          <w:sz w:val="24"/>
          <w:szCs w:val="24"/>
          <w:lang w:val="en-US"/>
        </w:rPr>
        <w:t>).</w:t>
      </w:r>
    </w:p>
    <w:p w14:paraId="19DCDA67" w14:textId="77777777" w:rsidR="0061473B" w:rsidRDefault="0061473B" w:rsidP="76C0B922">
      <w:pPr>
        <w:spacing w:line="257" w:lineRule="auto"/>
        <w:rPr>
          <w:rFonts w:ascii="Times New Roman" w:eastAsia="Times New Roman" w:hAnsi="Times New Roman" w:cs="Times New Roman"/>
          <w:b/>
          <w:bCs/>
          <w:color w:val="000000" w:themeColor="text1"/>
          <w:sz w:val="24"/>
          <w:szCs w:val="24"/>
          <w:lang w:val="en-US"/>
        </w:rPr>
      </w:pPr>
    </w:p>
    <w:p w14:paraId="68E87B1A" w14:textId="51CF542B" w:rsidR="2EFA8758" w:rsidRPr="00E204F6" w:rsidRDefault="3A510701" w:rsidP="76C0B922">
      <w:pPr>
        <w:spacing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b/>
          <w:bCs/>
          <w:color w:val="000000" w:themeColor="text1"/>
          <w:sz w:val="24"/>
          <w:szCs w:val="24"/>
          <w:lang w:val="en-US"/>
        </w:rPr>
        <w:t>Table</w:t>
      </w:r>
      <w:r w:rsidR="0A315358" w:rsidRPr="00E204F6">
        <w:rPr>
          <w:rFonts w:ascii="Times New Roman" w:eastAsia="Times New Roman" w:hAnsi="Times New Roman" w:cs="Times New Roman"/>
          <w:b/>
          <w:bCs/>
          <w:color w:val="000000" w:themeColor="text1"/>
          <w:sz w:val="24"/>
          <w:szCs w:val="24"/>
          <w:lang w:val="en-US"/>
        </w:rPr>
        <w:t xml:space="preserve"> </w:t>
      </w:r>
      <w:r w:rsidR="55A0BCF1" w:rsidRPr="00E204F6">
        <w:rPr>
          <w:rFonts w:ascii="Times New Roman" w:eastAsia="Times New Roman" w:hAnsi="Times New Roman" w:cs="Times New Roman"/>
          <w:b/>
          <w:bCs/>
          <w:color w:val="000000" w:themeColor="text1"/>
          <w:sz w:val="24"/>
          <w:szCs w:val="24"/>
          <w:lang w:val="en-US"/>
        </w:rPr>
        <w:t>10</w:t>
      </w:r>
      <w:r w:rsidR="0A315358" w:rsidRPr="00E204F6">
        <w:rPr>
          <w:rFonts w:ascii="Times New Roman" w:eastAsia="Times New Roman" w:hAnsi="Times New Roman" w:cs="Times New Roman"/>
          <w:b/>
          <w:bCs/>
          <w:color w:val="000000" w:themeColor="text1"/>
          <w:sz w:val="24"/>
          <w:szCs w:val="24"/>
          <w:lang w:val="en-US"/>
        </w:rPr>
        <w:t>. Number and proportions of patients receiving each additional line of chemotherapy</w:t>
      </w:r>
    </w:p>
    <w:p w14:paraId="555ED749" w14:textId="260A4EB4" w:rsidR="2EFA8758" w:rsidRPr="00E204F6" w:rsidRDefault="0061473B" w:rsidP="76C0B922">
      <w:pPr>
        <w:spacing w:line="257" w:lineRule="auto"/>
        <w:rPr>
          <w:rFonts w:ascii="Times New Roman" w:eastAsia="Times New Roman" w:hAnsi="Times New Roman" w:cs="Times New Roman"/>
          <w:color w:val="000000" w:themeColor="text1"/>
          <w:sz w:val="24"/>
          <w:szCs w:val="24"/>
        </w:rPr>
      </w:pPr>
      <w:r w:rsidRPr="0061473B">
        <w:rPr>
          <w:rFonts w:ascii="Times New Roman" w:eastAsia="Times New Roman" w:hAnsi="Times New Roman" w:cs="Times New Roman"/>
          <w:noProof/>
          <w:color w:val="000000" w:themeColor="text1"/>
          <w:sz w:val="24"/>
          <w:szCs w:val="24"/>
        </w:rPr>
        <w:drawing>
          <wp:inline distT="0" distB="0" distL="0" distR="0" wp14:anchorId="747A2721" wp14:editId="4E7BFA51">
            <wp:extent cx="5760720" cy="1710690"/>
            <wp:effectExtent l="0" t="0" r="0" b="3810"/>
            <wp:docPr id="909532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532983" name=""/>
                    <pic:cNvPicPr/>
                  </pic:nvPicPr>
                  <pic:blipFill>
                    <a:blip r:embed="rId20"/>
                    <a:stretch>
                      <a:fillRect/>
                    </a:stretch>
                  </pic:blipFill>
                  <pic:spPr>
                    <a:xfrm>
                      <a:off x="0" y="0"/>
                      <a:ext cx="5760720" cy="1710690"/>
                    </a:xfrm>
                    <a:prstGeom prst="rect">
                      <a:avLst/>
                    </a:prstGeom>
                  </pic:spPr>
                </pic:pic>
              </a:graphicData>
            </a:graphic>
          </wp:inline>
        </w:drawing>
      </w:r>
    </w:p>
    <w:p w14:paraId="2095EBA8" w14:textId="3FFB9059" w:rsidR="2EFA8758" w:rsidRPr="00E204F6" w:rsidRDefault="25AEA006" w:rsidP="76C0B922">
      <w:pPr>
        <w:spacing w:before="240" w:after="240"/>
        <w:rPr>
          <w:rFonts w:ascii="Times New Roman" w:eastAsia="Times New Roman" w:hAnsi="Times New Roman" w:cs="Times New Roman"/>
          <w:sz w:val="24"/>
          <w:szCs w:val="24"/>
          <w:lang w:val="en-US"/>
        </w:rPr>
      </w:pPr>
      <w:r w:rsidRPr="00E204F6">
        <w:rPr>
          <w:rFonts w:ascii="Times New Roman" w:eastAsia="Times New Roman" w:hAnsi="Times New Roman" w:cs="Times New Roman"/>
          <w:sz w:val="24"/>
          <w:szCs w:val="24"/>
          <w:lang w:val="en-US"/>
        </w:rPr>
        <w:t xml:space="preserve">For the calculation of the post-second line chemotherapy, an average body surface area of 2.01 m² was assumed (De Bono et al., 2010). Another assumption made was that all drugs are only administered once per cycle. The post-second line chemotherapy use and cost are presented in </w:t>
      </w:r>
      <w:r w:rsidR="3A510701" w:rsidRPr="00E204F6">
        <w:rPr>
          <w:rFonts w:ascii="Times New Roman" w:eastAsia="Times New Roman" w:hAnsi="Times New Roman" w:cs="Times New Roman"/>
          <w:sz w:val="24"/>
          <w:szCs w:val="24"/>
          <w:lang w:val="en-US"/>
        </w:rPr>
        <w:t>Table</w:t>
      </w:r>
      <w:r w:rsidR="155EB981" w:rsidRPr="00E204F6">
        <w:rPr>
          <w:rFonts w:ascii="Times New Roman" w:eastAsia="Times New Roman" w:hAnsi="Times New Roman" w:cs="Times New Roman"/>
          <w:sz w:val="24"/>
          <w:szCs w:val="24"/>
          <w:lang w:val="en-US"/>
        </w:rPr>
        <w:t xml:space="preserve"> </w:t>
      </w:r>
      <w:r w:rsidR="7C76E8EB" w:rsidRPr="00E204F6">
        <w:rPr>
          <w:rFonts w:ascii="Times New Roman" w:eastAsia="Times New Roman" w:hAnsi="Times New Roman" w:cs="Times New Roman"/>
          <w:sz w:val="24"/>
          <w:szCs w:val="24"/>
          <w:lang w:val="en-US"/>
        </w:rPr>
        <w:t>11</w:t>
      </w:r>
      <w:r w:rsidRPr="00E204F6">
        <w:rPr>
          <w:rFonts w:ascii="Times New Roman" w:eastAsia="Times New Roman" w:hAnsi="Times New Roman" w:cs="Times New Roman"/>
          <w:sz w:val="24"/>
          <w:szCs w:val="24"/>
          <w:lang w:val="en-US"/>
        </w:rPr>
        <w:t>.</w:t>
      </w:r>
    </w:p>
    <w:p w14:paraId="2003535F" w14:textId="47228AD1" w:rsidR="2EFA8758" w:rsidRPr="00E204F6" w:rsidRDefault="25AEA006" w:rsidP="76C0B922">
      <w:pPr>
        <w:spacing w:before="240" w:after="240" w:line="257" w:lineRule="auto"/>
        <w:rPr>
          <w:rFonts w:ascii="Times New Roman" w:eastAsia="Times New Roman" w:hAnsi="Times New Roman" w:cs="Times New Roman"/>
          <w:sz w:val="24"/>
          <w:szCs w:val="24"/>
          <w:lang w:val="en-US"/>
        </w:rPr>
      </w:pPr>
      <w:r w:rsidRPr="00E204F6">
        <w:rPr>
          <w:rFonts w:ascii="Times New Roman" w:eastAsia="Times New Roman" w:hAnsi="Times New Roman" w:cs="Times New Roman"/>
          <w:sz w:val="24"/>
          <w:szCs w:val="24"/>
          <w:lang w:val="en-US"/>
        </w:rPr>
        <w:t xml:space="preserve">The dosage per cycle was calculated by multiplying the dosage per m² by the body surface, and by the dosing per cycle (1 here). After this, the cost per cycle was calculated by multiplying the dosage per cycle with the cost per mg. Docetaxel and </w:t>
      </w:r>
      <w:r w:rsidR="2E1C6553" w:rsidRPr="00E204F6">
        <w:rPr>
          <w:rFonts w:ascii="Times New Roman" w:eastAsia="Times New Roman" w:hAnsi="Times New Roman" w:cs="Times New Roman"/>
          <w:sz w:val="24"/>
          <w:szCs w:val="24"/>
          <w:lang w:val="en-US"/>
        </w:rPr>
        <w:t>Mitoxantrone</w:t>
      </w:r>
      <w:r w:rsidRPr="00E204F6">
        <w:rPr>
          <w:rFonts w:ascii="Times New Roman" w:eastAsia="Times New Roman" w:hAnsi="Times New Roman" w:cs="Times New Roman"/>
          <w:sz w:val="24"/>
          <w:szCs w:val="24"/>
          <w:lang w:val="en-US"/>
        </w:rPr>
        <w:t xml:space="preserve"> are only administered for a maximum of 10 cycles and Carboplatin-based regimens only for a maximum of 6 cycles. The post-progression treatment cost was calculated as a </w:t>
      </w:r>
      <w:r w:rsidR="72C452B8" w:rsidRPr="00E204F6">
        <w:rPr>
          <w:rFonts w:ascii="Times New Roman" w:eastAsia="Times New Roman" w:hAnsi="Times New Roman" w:cs="Times New Roman"/>
          <w:sz w:val="24"/>
          <w:szCs w:val="24"/>
          <w:lang w:val="en-US"/>
        </w:rPr>
        <w:t>lumpsum</w:t>
      </w:r>
      <w:r w:rsidRPr="00E204F6">
        <w:rPr>
          <w:rFonts w:ascii="Times New Roman" w:eastAsia="Times New Roman" w:hAnsi="Times New Roman" w:cs="Times New Roman"/>
          <w:sz w:val="24"/>
          <w:szCs w:val="24"/>
          <w:lang w:val="en-US"/>
        </w:rPr>
        <w:t xml:space="preserve"> cost, by multiplying the cost per cycle with the maximum number of cycles. This total cost needs to be adjusted for the proportion of patients that receive post-second-line chemotherapy (250/447) and for the proportion of patients receiving each specific additional line of chemotherapy, by multiplying the total cost with these proportions. The total drug acquisition cost as a </w:t>
      </w:r>
      <w:r w:rsidR="72C452B8" w:rsidRPr="00E204F6">
        <w:rPr>
          <w:rFonts w:ascii="Times New Roman" w:eastAsia="Times New Roman" w:hAnsi="Times New Roman" w:cs="Times New Roman"/>
          <w:sz w:val="24"/>
          <w:szCs w:val="24"/>
          <w:lang w:val="en-US"/>
        </w:rPr>
        <w:t>lumpsum</w:t>
      </w:r>
      <w:r w:rsidRPr="00E204F6">
        <w:rPr>
          <w:rFonts w:ascii="Times New Roman" w:eastAsia="Times New Roman" w:hAnsi="Times New Roman" w:cs="Times New Roman"/>
          <w:sz w:val="24"/>
          <w:szCs w:val="24"/>
          <w:lang w:val="en-US"/>
        </w:rPr>
        <w:t xml:space="preserve"> is the sum of the separate </w:t>
      </w:r>
      <w:r w:rsidR="72C452B8" w:rsidRPr="00E204F6">
        <w:rPr>
          <w:rFonts w:ascii="Times New Roman" w:eastAsia="Times New Roman" w:hAnsi="Times New Roman" w:cs="Times New Roman"/>
          <w:sz w:val="24"/>
          <w:szCs w:val="24"/>
          <w:lang w:val="en-US"/>
        </w:rPr>
        <w:t>lumpsum</w:t>
      </w:r>
      <w:r w:rsidRPr="00E204F6">
        <w:rPr>
          <w:rFonts w:ascii="Times New Roman" w:eastAsia="Times New Roman" w:hAnsi="Times New Roman" w:cs="Times New Roman"/>
          <w:sz w:val="24"/>
          <w:szCs w:val="24"/>
          <w:lang w:val="en-US"/>
        </w:rPr>
        <w:t xml:space="preserve"> cost of each drug.</w:t>
      </w:r>
    </w:p>
    <w:p w14:paraId="390C1653" w14:textId="77777777" w:rsidR="0061473B" w:rsidRDefault="0061473B" w:rsidP="76C0B922">
      <w:pPr>
        <w:spacing w:line="257" w:lineRule="auto"/>
        <w:rPr>
          <w:rFonts w:ascii="Times New Roman" w:eastAsia="Times New Roman" w:hAnsi="Times New Roman" w:cs="Times New Roman"/>
          <w:b/>
          <w:bCs/>
          <w:color w:val="000000" w:themeColor="text1"/>
          <w:sz w:val="24"/>
          <w:szCs w:val="24"/>
          <w:lang w:val="en-US"/>
        </w:rPr>
      </w:pPr>
    </w:p>
    <w:p w14:paraId="55A0252F" w14:textId="77777777" w:rsidR="0061473B" w:rsidRDefault="0061473B" w:rsidP="76C0B922">
      <w:pPr>
        <w:spacing w:line="257" w:lineRule="auto"/>
        <w:rPr>
          <w:rFonts w:ascii="Times New Roman" w:eastAsia="Times New Roman" w:hAnsi="Times New Roman" w:cs="Times New Roman"/>
          <w:b/>
          <w:bCs/>
          <w:color w:val="000000" w:themeColor="text1"/>
          <w:sz w:val="24"/>
          <w:szCs w:val="24"/>
          <w:lang w:val="en-US"/>
        </w:rPr>
      </w:pPr>
    </w:p>
    <w:p w14:paraId="796EDFB9" w14:textId="77777777" w:rsidR="0061473B" w:rsidRDefault="0061473B" w:rsidP="76C0B922">
      <w:pPr>
        <w:spacing w:line="257" w:lineRule="auto"/>
        <w:rPr>
          <w:rFonts w:ascii="Times New Roman" w:eastAsia="Times New Roman" w:hAnsi="Times New Roman" w:cs="Times New Roman"/>
          <w:b/>
          <w:bCs/>
          <w:color w:val="000000" w:themeColor="text1"/>
          <w:sz w:val="24"/>
          <w:szCs w:val="24"/>
          <w:lang w:val="en-US"/>
        </w:rPr>
      </w:pPr>
    </w:p>
    <w:p w14:paraId="52A407B7" w14:textId="77777777" w:rsidR="00403F5A" w:rsidRDefault="00403F5A" w:rsidP="76C0B922">
      <w:pPr>
        <w:spacing w:line="257" w:lineRule="auto"/>
        <w:rPr>
          <w:rFonts w:ascii="Times New Roman" w:eastAsia="Times New Roman" w:hAnsi="Times New Roman" w:cs="Times New Roman"/>
          <w:b/>
          <w:bCs/>
          <w:color w:val="000000" w:themeColor="text1"/>
          <w:sz w:val="24"/>
          <w:szCs w:val="24"/>
          <w:lang w:val="en-US"/>
        </w:rPr>
      </w:pPr>
    </w:p>
    <w:p w14:paraId="3EEA6DED" w14:textId="211809EE" w:rsidR="2EFA8758" w:rsidRDefault="3A510701" w:rsidP="76C0B922">
      <w:pPr>
        <w:spacing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b/>
          <w:bCs/>
          <w:color w:val="000000" w:themeColor="text1"/>
          <w:sz w:val="24"/>
          <w:szCs w:val="24"/>
          <w:lang w:val="en-US"/>
        </w:rPr>
        <w:lastRenderedPageBreak/>
        <w:t>Table</w:t>
      </w:r>
      <w:r w:rsidR="0A315358" w:rsidRPr="00E204F6">
        <w:rPr>
          <w:rFonts w:ascii="Times New Roman" w:eastAsia="Times New Roman" w:hAnsi="Times New Roman" w:cs="Times New Roman"/>
          <w:b/>
          <w:bCs/>
          <w:color w:val="000000" w:themeColor="text1"/>
          <w:sz w:val="24"/>
          <w:szCs w:val="24"/>
          <w:lang w:val="en-US"/>
        </w:rPr>
        <w:t xml:space="preserve"> </w:t>
      </w:r>
      <w:r w:rsidR="7E266039" w:rsidRPr="00E204F6">
        <w:rPr>
          <w:rFonts w:ascii="Times New Roman" w:eastAsia="Times New Roman" w:hAnsi="Times New Roman" w:cs="Times New Roman"/>
          <w:b/>
          <w:bCs/>
          <w:color w:val="000000" w:themeColor="text1"/>
          <w:sz w:val="24"/>
          <w:szCs w:val="24"/>
          <w:lang w:val="en-US"/>
        </w:rPr>
        <w:t>11</w:t>
      </w:r>
      <w:r w:rsidR="0A315358" w:rsidRPr="00E204F6">
        <w:rPr>
          <w:rFonts w:ascii="Times New Roman" w:eastAsia="Times New Roman" w:hAnsi="Times New Roman" w:cs="Times New Roman"/>
          <w:b/>
          <w:bCs/>
          <w:color w:val="000000" w:themeColor="text1"/>
          <w:sz w:val="24"/>
          <w:szCs w:val="24"/>
          <w:lang w:val="en-US"/>
        </w:rPr>
        <w:t xml:space="preserve">. Post-second line chemotherapy use and cost as a </w:t>
      </w:r>
      <w:r w:rsidR="72C452B8" w:rsidRPr="00E204F6">
        <w:rPr>
          <w:rFonts w:ascii="Times New Roman" w:eastAsia="Times New Roman" w:hAnsi="Times New Roman" w:cs="Times New Roman"/>
          <w:b/>
          <w:bCs/>
          <w:color w:val="000000" w:themeColor="text1"/>
          <w:sz w:val="24"/>
          <w:szCs w:val="24"/>
          <w:lang w:val="en-US"/>
        </w:rPr>
        <w:t>lumpsum</w:t>
      </w:r>
      <w:r w:rsidR="0A315358" w:rsidRPr="00E204F6">
        <w:rPr>
          <w:rFonts w:ascii="Times New Roman" w:eastAsia="Times New Roman" w:hAnsi="Times New Roman" w:cs="Times New Roman"/>
          <w:b/>
          <w:bCs/>
          <w:color w:val="000000" w:themeColor="text1"/>
          <w:sz w:val="24"/>
          <w:szCs w:val="24"/>
          <w:lang w:val="en-US"/>
        </w:rPr>
        <w:t xml:space="preserve">, </w:t>
      </w:r>
      <w:r w:rsidR="77EA56D4" w:rsidRPr="00E204F6">
        <w:rPr>
          <w:rFonts w:ascii="Times New Roman" w:eastAsia="Times New Roman" w:hAnsi="Times New Roman" w:cs="Times New Roman"/>
          <w:b/>
          <w:bCs/>
          <w:color w:val="000000" w:themeColor="text1"/>
          <w:sz w:val="24"/>
          <w:szCs w:val="24"/>
          <w:lang w:val="en-US"/>
        </w:rPr>
        <w:t>Cabazitaxel</w:t>
      </w:r>
    </w:p>
    <w:p w14:paraId="590B942B" w14:textId="5C47093F" w:rsidR="2EFA8758" w:rsidRPr="00E204F6" w:rsidRDefault="0061473B" w:rsidP="76C0B922">
      <w:pPr>
        <w:spacing w:line="257" w:lineRule="auto"/>
        <w:rPr>
          <w:rFonts w:ascii="Times New Roman" w:eastAsia="Times New Roman" w:hAnsi="Times New Roman" w:cs="Times New Roman"/>
          <w:color w:val="000000" w:themeColor="text1"/>
          <w:sz w:val="24"/>
          <w:szCs w:val="24"/>
          <w:lang w:val="en-US"/>
        </w:rPr>
      </w:pPr>
      <w:r w:rsidRPr="0061473B">
        <w:rPr>
          <w:rFonts w:ascii="Times New Roman" w:eastAsia="Times New Roman" w:hAnsi="Times New Roman" w:cs="Times New Roman"/>
          <w:noProof/>
          <w:color w:val="000000" w:themeColor="text1"/>
          <w:sz w:val="24"/>
          <w:szCs w:val="24"/>
          <w:lang w:val="en-US"/>
        </w:rPr>
        <w:drawing>
          <wp:inline distT="0" distB="0" distL="0" distR="0" wp14:anchorId="7FB5BD35" wp14:editId="55DC3C31">
            <wp:extent cx="5760720" cy="4083050"/>
            <wp:effectExtent l="0" t="0" r="0" b="0"/>
            <wp:docPr id="49291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1217" name=""/>
                    <pic:cNvPicPr/>
                  </pic:nvPicPr>
                  <pic:blipFill>
                    <a:blip r:embed="rId21"/>
                    <a:stretch>
                      <a:fillRect/>
                    </a:stretch>
                  </pic:blipFill>
                  <pic:spPr>
                    <a:xfrm>
                      <a:off x="0" y="0"/>
                      <a:ext cx="5760720" cy="4083050"/>
                    </a:xfrm>
                    <a:prstGeom prst="rect">
                      <a:avLst/>
                    </a:prstGeom>
                  </pic:spPr>
                </pic:pic>
              </a:graphicData>
            </a:graphic>
          </wp:inline>
        </w:drawing>
      </w:r>
    </w:p>
    <w:p w14:paraId="68CD47BA" w14:textId="306ABA75" w:rsidR="2EFA8758" w:rsidRPr="00E204F6" w:rsidRDefault="0A315358" w:rsidP="76C0B922">
      <w:pPr>
        <w:spacing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color w:val="000000" w:themeColor="text1"/>
          <w:sz w:val="24"/>
          <w:szCs w:val="24"/>
          <w:lang w:val="en-US"/>
        </w:rPr>
        <w:t>The adverse events associated with the post-second line chemotherapy were ignored for simplicity.</w:t>
      </w:r>
    </w:p>
    <w:p w14:paraId="6328415A" w14:textId="688E7230" w:rsidR="2EFA8758" w:rsidRPr="00E204F6" w:rsidRDefault="27212124" w:rsidP="76C0B922">
      <w:pPr>
        <w:spacing w:line="257" w:lineRule="auto"/>
        <w:rPr>
          <w:rFonts w:ascii="Times New Roman" w:hAnsi="Times New Roman" w:cs="Times New Roman"/>
        </w:rPr>
      </w:pPr>
      <w:r w:rsidRPr="00E204F6">
        <w:rPr>
          <w:rFonts w:ascii="Times New Roman" w:eastAsia="Times New Roman" w:hAnsi="Times New Roman" w:cs="Times New Roman"/>
          <w:sz w:val="24"/>
          <w:szCs w:val="24"/>
          <w:lang w:val="en-US"/>
        </w:rPr>
        <w:t xml:space="preserve">After the total drug acquisition costs were calculated as a </w:t>
      </w:r>
      <w:r w:rsidR="72C452B8" w:rsidRPr="00E204F6">
        <w:rPr>
          <w:rFonts w:ascii="Times New Roman" w:eastAsia="Times New Roman" w:hAnsi="Times New Roman" w:cs="Times New Roman"/>
          <w:sz w:val="24"/>
          <w:szCs w:val="24"/>
          <w:lang w:val="en-US"/>
        </w:rPr>
        <w:t>lumpsum</w:t>
      </w:r>
      <w:r w:rsidRPr="00E204F6">
        <w:rPr>
          <w:rFonts w:ascii="Times New Roman" w:eastAsia="Times New Roman" w:hAnsi="Times New Roman" w:cs="Times New Roman"/>
          <w:sz w:val="24"/>
          <w:szCs w:val="24"/>
          <w:lang w:val="en-US"/>
        </w:rPr>
        <w:t xml:space="preserve"> for each arm, these costs were used in each cycle of the model trace, applied as a one-off cost to newly progressed patients, at the moment they progress. No half-cycle correction was applied, since this is a transaction cost and not a health state cost.</w:t>
      </w:r>
    </w:p>
    <w:p w14:paraId="1DFF04DA" w14:textId="60FA47FE" w:rsidR="2EFA8758" w:rsidRPr="00E204F6" w:rsidRDefault="2EFA8758" w:rsidP="76C0B922">
      <w:pPr>
        <w:spacing w:line="257" w:lineRule="auto"/>
        <w:rPr>
          <w:rFonts w:ascii="Times New Roman" w:eastAsia="Times New Roman" w:hAnsi="Times New Roman" w:cs="Times New Roman"/>
          <w:sz w:val="24"/>
          <w:szCs w:val="24"/>
          <w:lang w:val="en-US"/>
        </w:rPr>
      </w:pPr>
    </w:p>
    <w:p w14:paraId="1BB99BDC" w14:textId="7041CA3E" w:rsidR="2EFA8758" w:rsidRPr="00E204F6" w:rsidRDefault="0A315358" w:rsidP="000F0D46">
      <w:pPr>
        <w:spacing w:after="0"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i/>
          <w:iCs/>
          <w:color w:val="000000" w:themeColor="text1"/>
          <w:sz w:val="24"/>
          <w:szCs w:val="24"/>
          <w:lang w:val="en-US"/>
        </w:rPr>
        <w:t>Premedication and administration costs</w:t>
      </w:r>
    </w:p>
    <w:p w14:paraId="700A37DE" w14:textId="1C777D83" w:rsidR="2EFA8758" w:rsidRPr="00E204F6" w:rsidRDefault="66758DD9" w:rsidP="000F0D46">
      <w:pPr>
        <w:spacing w:after="0" w:line="257" w:lineRule="auto"/>
        <w:rPr>
          <w:rFonts w:ascii="Times New Roman" w:eastAsia="Times New Roman" w:hAnsi="Times New Roman" w:cs="Times New Roman"/>
          <w:sz w:val="24"/>
          <w:szCs w:val="24"/>
          <w:lang w:val="en-US"/>
        </w:rPr>
      </w:pPr>
      <w:r w:rsidRPr="00E204F6">
        <w:rPr>
          <w:rFonts w:ascii="Times New Roman" w:eastAsia="Times New Roman" w:hAnsi="Times New Roman" w:cs="Times New Roman"/>
          <w:sz w:val="24"/>
          <w:szCs w:val="24"/>
          <w:lang w:val="en-US"/>
        </w:rPr>
        <w:t xml:space="preserve">The post-second line chemotherapy also has premedication and administration cost, that needs to be included. The total premedication and administration cost per cycle of </w:t>
      </w:r>
      <w:r w:rsidR="2E1C6553" w:rsidRPr="00E204F6">
        <w:rPr>
          <w:rFonts w:ascii="Times New Roman" w:eastAsia="Times New Roman" w:hAnsi="Times New Roman" w:cs="Times New Roman"/>
          <w:sz w:val="24"/>
          <w:szCs w:val="24"/>
          <w:lang w:val="en-US"/>
        </w:rPr>
        <w:t>Mitoxantrone</w:t>
      </w:r>
      <w:r w:rsidRPr="00E204F6">
        <w:rPr>
          <w:rFonts w:ascii="Times New Roman" w:eastAsia="Times New Roman" w:hAnsi="Times New Roman" w:cs="Times New Roman"/>
          <w:sz w:val="24"/>
          <w:szCs w:val="24"/>
          <w:lang w:val="en-US"/>
        </w:rPr>
        <w:t xml:space="preserve"> in </w:t>
      </w:r>
      <w:r w:rsidR="4BE0E525" w:rsidRPr="00E204F6">
        <w:rPr>
          <w:rFonts w:ascii="Times New Roman" w:eastAsia="Times New Roman" w:hAnsi="Times New Roman" w:cs="Times New Roman"/>
          <w:sz w:val="24"/>
          <w:szCs w:val="24"/>
          <w:lang w:val="en-US"/>
        </w:rPr>
        <w:t>SD</w:t>
      </w:r>
      <w:r w:rsidRPr="00E204F6">
        <w:rPr>
          <w:rFonts w:ascii="Times New Roman" w:eastAsia="Times New Roman" w:hAnsi="Times New Roman" w:cs="Times New Roman"/>
          <w:sz w:val="24"/>
          <w:szCs w:val="24"/>
          <w:lang w:val="en-US"/>
        </w:rPr>
        <w:t xml:space="preserve"> was used and adjusted for the proportion of patients that receive post-second-line chemotherapy (250/447) and for the proportion of patients receiving each specific additional line of chemotherapy, by multiplying the total cost with these proportions. The cost was also multiplied by the maximum number of cycles, to make it a </w:t>
      </w:r>
      <w:r w:rsidR="72C452B8" w:rsidRPr="00E204F6">
        <w:rPr>
          <w:rFonts w:ascii="Times New Roman" w:eastAsia="Times New Roman" w:hAnsi="Times New Roman" w:cs="Times New Roman"/>
          <w:sz w:val="24"/>
          <w:szCs w:val="24"/>
          <w:lang w:val="en-US"/>
        </w:rPr>
        <w:t>lumpsum</w:t>
      </w:r>
      <w:r w:rsidRPr="00E204F6">
        <w:rPr>
          <w:rFonts w:ascii="Times New Roman" w:eastAsia="Times New Roman" w:hAnsi="Times New Roman" w:cs="Times New Roman"/>
          <w:sz w:val="24"/>
          <w:szCs w:val="24"/>
          <w:lang w:val="en-US"/>
        </w:rPr>
        <w:t xml:space="preserve"> cost, shown below in </w:t>
      </w:r>
      <w:r w:rsidR="3A510701" w:rsidRPr="00E204F6">
        <w:rPr>
          <w:rFonts w:ascii="Times New Roman" w:eastAsia="Times New Roman" w:hAnsi="Times New Roman" w:cs="Times New Roman"/>
          <w:sz w:val="24"/>
          <w:szCs w:val="24"/>
          <w:lang w:val="en-US"/>
        </w:rPr>
        <w:t>Table</w:t>
      </w:r>
      <w:r w:rsidR="3FF9CA20" w:rsidRPr="00E204F6">
        <w:rPr>
          <w:rFonts w:ascii="Times New Roman" w:eastAsia="Times New Roman" w:hAnsi="Times New Roman" w:cs="Times New Roman"/>
          <w:sz w:val="24"/>
          <w:szCs w:val="24"/>
          <w:lang w:val="en-US"/>
        </w:rPr>
        <w:t>s 12 and 13</w:t>
      </w:r>
      <w:r w:rsidRPr="00E204F6">
        <w:rPr>
          <w:rFonts w:ascii="Times New Roman" w:eastAsia="Times New Roman" w:hAnsi="Times New Roman" w:cs="Times New Roman"/>
          <w:sz w:val="24"/>
          <w:szCs w:val="24"/>
          <w:lang w:val="en-US"/>
        </w:rPr>
        <w:t>.</w:t>
      </w:r>
    </w:p>
    <w:p w14:paraId="7D6A7900" w14:textId="68ABB191" w:rsidR="2EFA8758" w:rsidRDefault="2EFA8758" w:rsidP="76C0B922">
      <w:pPr>
        <w:spacing w:line="257" w:lineRule="auto"/>
        <w:rPr>
          <w:rFonts w:ascii="Times New Roman" w:eastAsia="Times New Roman" w:hAnsi="Times New Roman" w:cs="Times New Roman"/>
          <w:color w:val="000000" w:themeColor="text1"/>
          <w:sz w:val="24"/>
          <w:szCs w:val="24"/>
        </w:rPr>
      </w:pPr>
    </w:p>
    <w:p w14:paraId="5FAB2D17" w14:textId="77777777" w:rsidR="0061473B" w:rsidRDefault="0061473B" w:rsidP="76C0B922">
      <w:pPr>
        <w:spacing w:line="257" w:lineRule="auto"/>
        <w:rPr>
          <w:rFonts w:ascii="Times New Roman" w:eastAsia="Times New Roman" w:hAnsi="Times New Roman" w:cs="Times New Roman"/>
          <w:color w:val="000000" w:themeColor="text1"/>
          <w:sz w:val="24"/>
          <w:szCs w:val="24"/>
        </w:rPr>
      </w:pPr>
    </w:p>
    <w:p w14:paraId="70456E87" w14:textId="77777777" w:rsidR="0061473B" w:rsidRDefault="0061473B" w:rsidP="76C0B922">
      <w:pPr>
        <w:spacing w:line="257" w:lineRule="auto"/>
        <w:rPr>
          <w:rFonts w:ascii="Times New Roman" w:eastAsia="Times New Roman" w:hAnsi="Times New Roman" w:cs="Times New Roman"/>
          <w:color w:val="000000" w:themeColor="text1"/>
          <w:sz w:val="24"/>
          <w:szCs w:val="24"/>
        </w:rPr>
      </w:pPr>
    </w:p>
    <w:p w14:paraId="5B0C649A" w14:textId="77777777" w:rsidR="0061473B" w:rsidRPr="00E204F6" w:rsidRDefault="0061473B" w:rsidP="76C0B922">
      <w:pPr>
        <w:spacing w:line="257" w:lineRule="auto"/>
        <w:rPr>
          <w:rFonts w:ascii="Times New Roman" w:eastAsia="Times New Roman" w:hAnsi="Times New Roman" w:cs="Times New Roman"/>
          <w:color w:val="000000" w:themeColor="text1"/>
          <w:sz w:val="24"/>
          <w:szCs w:val="24"/>
        </w:rPr>
      </w:pPr>
    </w:p>
    <w:p w14:paraId="48275699" w14:textId="604F8739" w:rsidR="2EFA8758" w:rsidRPr="00E204F6" w:rsidRDefault="3A510701" w:rsidP="76C0B922">
      <w:pPr>
        <w:spacing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b/>
          <w:bCs/>
          <w:color w:val="000000" w:themeColor="text1"/>
          <w:sz w:val="24"/>
          <w:szCs w:val="24"/>
          <w:lang w:val="en-US"/>
        </w:rPr>
        <w:lastRenderedPageBreak/>
        <w:t>Table</w:t>
      </w:r>
      <w:r w:rsidR="0A315358" w:rsidRPr="00E204F6">
        <w:rPr>
          <w:rFonts w:ascii="Times New Roman" w:eastAsia="Times New Roman" w:hAnsi="Times New Roman" w:cs="Times New Roman"/>
          <w:b/>
          <w:bCs/>
          <w:color w:val="000000" w:themeColor="text1"/>
          <w:sz w:val="24"/>
          <w:szCs w:val="24"/>
          <w:lang w:val="en-US"/>
        </w:rPr>
        <w:t xml:space="preserve"> </w:t>
      </w:r>
      <w:r w:rsidR="0F972A67" w:rsidRPr="00E204F6">
        <w:rPr>
          <w:rFonts w:ascii="Times New Roman" w:eastAsia="Times New Roman" w:hAnsi="Times New Roman" w:cs="Times New Roman"/>
          <w:b/>
          <w:bCs/>
          <w:color w:val="000000" w:themeColor="text1"/>
          <w:sz w:val="24"/>
          <w:szCs w:val="24"/>
          <w:lang w:val="en-US"/>
        </w:rPr>
        <w:t>12</w:t>
      </w:r>
      <w:r w:rsidR="0A315358" w:rsidRPr="00E204F6">
        <w:rPr>
          <w:rFonts w:ascii="Times New Roman" w:eastAsia="Times New Roman" w:hAnsi="Times New Roman" w:cs="Times New Roman"/>
          <w:b/>
          <w:bCs/>
          <w:color w:val="000000" w:themeColor="text1"/>
          <w:sz w:val="24"/>
          <w:szCs w:val="24"/>
          <w:lang w:val="en-US"/>
        </w:rPr>
        <w:t xml:space="preserve">. Premedication use and cost as a </w:t>
      </w:r>
      <w:r w:rsidR="72C452B8" w:rsidRPr="00E204F6">
        <w:rPr>
          <w:rFonts w:ascii="Times New Roman" w:eastAsia="Times New Roman" w:hAnsi="Times New Roman" w:cs="Times New Roman"/>
          <w:b/>
          <w:bCs/>
          <w:color w:val="000000" w:themeColor="text1"/>
          <w:sz w:val="24"/>
          <w:szCs w:val="24"/>
          <w:lang w:val="en-US"/>
        </w:rPr>
        <w:t>lumpsum</w:t>
      </w:r>
      <w:r w:rsidR="0A315358" w:rsidRPr="00E204F6">
        <w:rPr>
          <w:rFonts w:ascii="Times New Roman" w:eastAsia="Times New Roman" w:hAnsi="Times New Roman" w:cs="Times New Roman"/>
          <w:b/>
          <w:bCs/>
          <w:color w:val="000000" w:themeColor="text1"/>
          <w:sz w:val="24"/>
          <w:szCs w:val="24"/>
          <w:lang w:val="en-US"/>
        </w:rPr>
        <w:t xml:space="preserve">, </w:t>
      </w:r>
      <w:r w:rsidR="77EA56D4" w:rsidRPr="00E204F6">
        <w:rPr>
          <w:rFonts w:ascii="Times New Roman" w:eastAsia="Times New Roman" w:hAnsi="Times New Roman" w:cs="Times New Roman"/>
          <w:b/>
          <w:bCs/>
          <w:color w:val="000000" w:themeColor="text1"/>
          <w:sz w:val="24"/>
          <w:szCs w:val="24"/>
          <w:lang w:val="en-US"/>
        </w:rPr>
        <w:t>Cabazitaxel</w:t>
      </w:r>
    </w:p>
    <w:p w14:paraId="4F55FD14" w14:textId="06E171D9" w:rsidR="2EFA8758" w:rsidRPr="00E204F6" w:rsidRDefault="0061473B" w:rsidP="76C0B922">
      <w:pPr>
        <w:spacing w:line="257" w:lineRule="auto"/>
        <w:rPr>
          <w:rFonts w:ascii="Times New Roman" w:eastAsia="Times New Roman" w:hAnsi="Times New Roman" w:cs="Times New Roman"/>
          <w:color w:val="000000" w:themeColor="text1"/>
          <w:sz w:val="24"/>
          <w:szCs w:val="24"/>
          <w:lang w:val="en-US"/>
        </w:rPr>
      </w:pPr>
      <w:r w:rsidRPr="0061473B">
        <w:rPr>
          <w:rFonts w:ascii="Times New Roman" w:eastAsia="Times New Roman" w:hAnsi="Times New Roman" w:cs="Times New Roman"/>
          <w:noProof/>
          <w:color w:val="000000" w:themeColor="text1"/>
          <w:sz w:val="24"/>
          <w:szCs w:val="24"/>
          <w:lang w:val="en-US"/>
        </w:rPr>
        <w:drawing>
          <wp:inline distT="0" distB="0" distL="0" distR="0" wp14:anchorId="11D9478F" wp14:editId="1DD1EA6B">
            <wp:extent cx="5760720" cy="3259455"/>
            <wp:effectExtent l="0" t="0" r="0" b="0"/>
            <wp:docPr id="1079833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833281" name=""/>
                    <pic:cNvPicPr/>
                  </pic:nvPicPr>
                  <pic:blipFill>
                    <a:blip r:embed="rId22"/>
                    <a:stretch>
                      <a:fillRect/>
                    </a:stretch>
                  </pic:blipFill>
                  <pic:spPr>
                    <a:xfrm>
                      <a:off x="0" y="0"/>
                      <a:ext cx="5760720" cy="3259455"/>
                    </a:xfrm>
                    <a:prstGeom prst="rect">
                      <a:avLst/>
                    </a:prstGeom>
                  </pic:spPr>
                </pic:pic>
              </a:graphicData>
            </a:graphic>
          </wp:inline>
        </w:drawing>
      </w:r>
    </w:p>
    <w:p w14:paraId="4DBFABFA" w14:textId="116F70AB" w:rsidR="2EFA8758" w:rsidRPr="00E204F6" w:rsidRDefault="3A510701" w:rsidP="76C0B922">
      <w:pPr>
        <w:spacing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b/>
          <w:bCs/>
          <w:color w:val="000000" w:themeColor="text1"/>
          <w:sz w:val="24"/>
          <w:szCs w:val="24"/>
          <w:lang w:val="en-US"/>
        </w:rPr>
        <w:t>Table</w:t>
      </w:r>
      <w:r w:rsidR="0A315358" w:rsidRPr="00E204F6">
        <w:rPr>
          <w:rFonts w:ascii="Times New Roman" w:eastAsia="Times New Roman" w:hAnsi="Times New Roman" w:cs="Times New Roman"/>
          <w:b/>
          <w:bCs/>
          <w:color w:val="000000" w:themeColor="text1"/>
          <w:sz w:val="24"/>
          <w:szCs w:val="24"/>
          <w:lang w:val="en-US"/>
        </w:rPr>
        <w:t xml:space="preserve"> 1</w:t>
      </w:r>
      <w:r w:rsidR="4A3A6EB2" w:rsidRPr="00E204F6">
        <w:rPr>
          <w:rFonts w:ascii="Times New Roman" w:eastAsia="Times New Roman" w:hAnsi="Times New Roman" w:cs="Times New Roman"/>
          <w:b/>
          <w:bCs/>
          <w:color w:val="000000" w:themeColor="text1"/>
          <w:sz w:val="24"/>
          <w:szCs w:val="24"/>
          <w:lang w:val="en-US"/>
        </w:rPr>
        <w:t>3</w:t>
      </w:r>
      <w:r w:rsidR="0A315358" w:rsidRPr="00E204F6">
        <w:rPr>
          <w:rFonts w:ascii="Times New Roman" w:eastAsia="Times New Roman" w:hAnsi="Times New Roman" w:cs="Times New Roman"/>
          <w:b/>
          <w:bCs/>
          <w:color w:val="000000" w:themeColor="text1"/>
          <w:sz w:val="24"/>
          <w:szCs w:val="24"/>
          <w:lang w:val="en-US"/>
        </w:rPr>
        <w:t xml:space="preserve">. Administration use and cost as a </w:t>
      </w:r>
      <w:r w:rsidR="72C452B8" w:rsidRPr="00E204F6">
        <w:rPr>
          <w:rFonts w:ascii="Times New Roman" w:eastAsia="Times New Roman" w:hAnsi="Times New Roman" w:cs="Times New Roman"/>
          <w:b/>
          <w:bCs/>
          <w:color w:val="000000" w:themeColor="text1"/>
          <w:sz w:val="24"/>
          <w:szCs w:val="24"/>
          <w:lang w:val="en-US"/>
        </w:rPr>
        <w:t>lumpsum</w:t>
      </w:r>
      <w:r w:rsidR="0A315358" w:rsidRPr="00E204F6">
        <w:rPr>
          <w:rFonts w:ascii="Times New Roman" w:eastAsia="Times New Roman" w:hAnsi="Times New Roman" w:cs="Times New Roman"/>
          <w:b/>
          <w:bCs/>
          <w:color w:val="000000" w:themeColor="text1"/>
          <w:sz w:val="24"/>
          <w:szCs w:val="24"/>
          <w:lang w:val="en-US"/>
        </w:rPr>
        <w:t xml:space="preserve">, </w:t>
      </w:r>
      <w:r w:rsidR="77EA56D4" w:rsidRPr="00E204F6">
        <w:rPr>
          <w:rFonts w:ascii="Times New Roman" w:eastAsia="Times New Roman" w:hAnsi="Times New Roman" w:cs="Times New Roman"/>
          <w:b/>
          <w:bCs/>
          <w:color w:val="000000" w:themeColor="text1"/>
          <w:sz w:val="24"/>
          <w:szCs w:val="24"/>
          <w:lang w:val="en-US"/>
        </w:rPr>
        <w:t>Cabazitaxel</w:t>
      </w:r>
    </w:p>
    <w:p w14:paraId="2E6F8909" w14:textId="6E62DE64" w:rsidR="2EFA8758" w:rsidRPr="00E204F6" w:rsidRDefault="0061473B" w:rsidP="76C0B922">
      <w:pPr>
        <w:spacing w:line="257" w:lineRule="auto"/>
        <w:rPr>
          <w:rFonts w:ascii="Times New Roman" w:eastAsia="Times New Roman" w:hAnsi="Times New Roman" w:cs="Times New Roman"/>
          <w:sz w:val="24"/>
          <w:szCs w:val="24"/>
          <w:lang w:val="en-US"/>
        </w:rPr>
      </w:pPr>
      <w:r w:rsidRPr="0061473B">
        <w:rPr>
          <w:rFonts w:ascii="Times New Roman" w:eastAsia="Times New Roman" w:hAnsi="Times New Roman" w:cs="Times New Roman"/>
          <w:noProof/>
          <w:sz w:val="24"/>
          <w:szCs w:val="24"/>
          <w:lang w:val="en-US"/>
        </w:rPr>
        <w:drawing>
          <wp:inline distT="0" distB="0" distL="0" distR="0" wp14:anchorId="61FA8ADA" wp14:editId="1F1A2F55">
            <wp:extent cx="5760720" cy="3613150"/>
            <wp:effectExtent l="0" t="0" r="0" b="6350"/>
            <wp:docPr id="1558184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184425" name=""/>
                    <pic:cNvPicPr/>
                  </pic:nvPicPr>
                  <pic:blipFill>
                    <a:blip r:embed="rId23"/>
                    <a:stretch>
                      <a:fillRect/>
                    </a:stretch>
                  </pic:blipFill>
                  <pic:spPr>
                    <a:xfrm>
                      <a:off x="0" y="0"/>
                      <a:ext cx="5760720" cy="3613150"/>
                    </a:xfrm>
                    <a:prstGeom prst="rect">
                      <a:avLst/>
                    </a:prstGeom>
                  </pic:spPr>
                </pic:pic>
              </a:graphicData>
            </a:graphic>
          </wp:inline>
        </w:drawing>
      </w:r>
    </w:p>
    <w:p w14:paraId="3D3D70E4" w14:textId="7A652203" w:rsidR="2EFA8758" w:rsidRDefault="68B0E9BB" w:rsidP="76C0B922">
      <w:pPr>
        <w:spacing w:line="257" w:lineRule="auto"/>
        <w:rPr>
          <w:rFonts w:ascii="Times New Roman" w:eastAsia="Times New Roman" w:hAnsi="Times New Roman" w:cs="Times New Roman"/>
          <w:sz w:val="24"/>
          <w:szCs w:val="24"/>
          <w:lang w:val="en-US"/>
        </w:rPr>
      </w:pPr>
      <w:r w:rsidRPr="4317C20E">
        <w:rPr>
          <w:rFonts w:ascii="Times New Roman" w:eastAsia="Times New Roman" w:hAnsi="Times New Roman" w:cs="Times New Roman"/>
          <w:sz w:val="24"/>
          <w:szCs w:val="24"/>
          <w:lang w:val="en-US"/>
        </w:rPr>
        <w:t>After calculating the total premedication and administration cost as a lumpsum for each arm, these costs were used in each cycle of the model trace, applied as a one-off cost to newly progressed patients at the moment they progress, like the drug acquisition costs. For the same reason, no half-cycle correction was applied here.</w:t>
      </w:r>
    </w:p>
    <w:p w14:paraId="27B70C9A" w14:textId="77777777" w:rsidR="00403F5A" w:rsidRPr="00E204F6" w:rsidRDefault="00403F5A" w:rsidP="76C0B922">
      <w:pPr>
        <w:spacing w:line="257" w:lineRule="auto"/>
        <w:rPr>
          <w:rFonts w:ascii="Times New Roman" w:hAnsi="Times New Roman" w:cs="Times New Roman"/>
        </w:rPr>
      </w:pPr>
    </w:p>
    <w:p w14:paraId="70FB286B" w14:textId="4320DFDD" w:rsidR="2EFA8758" w:rsidRPr="00E204F6" w:rsidRDefault="0A315358" w:rsidP="0061473B">
      <w:pPr>
        <w:spacing w:after="0"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i/>
          <w:iCs/>
          <w:color w:val="000000" w:themeColor="text1"/>
          <w:sz w:val="24"/>
          <w:szCs w:val="24"/>
          <w:lang w:val="en-US"/>
        </w:rPr>
        <w:lastRenderedPageBreak/>
        <w:t>Concomitant medication costs</w:t>
      </w:r>
    </w:p>
    <w:p w14:paraId="446E702A" w14:textId="41FB90A0" w:rsidR="2EFA8758" w:rsidRPr="00E204F6" w:rsidRDefault="23C132BF" w:rsidP="76C0B922">
      <w:pPr>
        <w:spacing w:line="257" w:lineRule="auto"/>
        <w:rPr>
          <w:rFonts w:ascii="Times New Roman" w:eastAsia="Times New Roman" w:hAnsi="Times New Roman" w:cs="Times New Roman"/>
          <w:sz w:val="24"/>
          <w:szCs w:val="24"/>
          <w:lang w:val="en-US"/>
        </w:rPr>
      </w:pPr>
      <w:r w:rsidRPr="00E204F6">
        <w:rPr>
          <w:rFonts w:ascii="Times New Roman" w:eastAsia="Times New Roman" w:hAnsi="Times New Roman" w:cs="Times New Roman"/>
          <w:sz w:val="24"/>
          <w:szCs w:val="24"/>
          <w:lang w:val="en-US"/>
        </w:rPr>
        <w:t xml:space="preserve">The same costs as in SD were used here, since it is assumed that patients continue receiving the same concomitant medication after progression, as they received in </w:t>
      </w:r>
      <w:r w:rsidR="6DEF5E64" w:rsidRPr="00E204F6">
        <w:rPr>
          <w:rFonts w:ascii="Times New Roman" w:eastAsia="Times New Roman" w:hAnsi="Times New Roman" w:cs="Times New Roman"/>
          <w:sz w:val="24"/>
          <w:szCs w:val="24"/>
          <w:lang w:val="en-US"/>
        </w:rPr>
        <w:t>SD</w:t>
      </w:r>
      <w:r w:rsidRPr="00E204F6">
        <w:rPr>
          <w:rFonts w:ascii="Times New Roman" w:eastAsia="Times New Roman" w:hAnsi="Times New Roman" w:cs="Times New Roman"/>
          <w:sz w:val="24"/>
          <w:szCs w:val="24"/>
          <w:lang w:val="en-US"/>
        </w:rPr>
        <w:t xml:space="preserve">. So, the same total cost as in </w:t>
      </w:r>
      <w:r w:rsidR="3A510701" w:rsidRPr="00E204F6">
        <w:rPr>
          <w:rFonts w:ascii="Times New Roman" w:eastAsia="Times New Roman" w:hAnsi="Times New Roman" w:cs="Times New Roman"/>
          <w:sz w:val="24"/>
          <w:szCs w:val="24"/>
          <w:lang w:val="en-US"/>
        </w:rPr>
        <w:t>Table</w:t>
      </w:r>
      <w:r w:rsidRPr="00E204F6">
        <w:rPr>
          <w:rFonts w:ascii="Times New Roman" w:eastAsia="Times New Roman" w:hAnsi="Times New Roman" w:cs="Times New Roman"/>
          <w:sz w:val="24"/>
          <w:szCs w:val="24"/>
          <w:lang w:val="en-US"/>
        </w:rPr>
        <w:t xml:space="preserve"> </w:t>
      </w:r>
      <w:r w:rsidR="30295A69" w:rsidRPr="00E204F6">
        <w:rPr>
          <w:rFonts w:ascii="Times New Roman" w:eastAsia="Times New Roman" w:hAnsi="Times New Roman" w:cs="Times New Roman"/>
          <w:sz w:val="24"/>
          <w:szCs w:val="24"/>
          <w:lang w:val="en-US"/>
        </w:rPr>
        <w:t>7</w:t>
      </w:r>
      <w:r w:rsidRPr="00E204F6">
        <w:rPr>
          <w:rFonts w:ascii="Times New Roman" w:eastAsia="Times New Roman" w:hAnsi="Times New Roman" w:cs="Times New Roman"/>
          <w:sz w:val="24"/>
          <w:szCs w:val="24"/>
          <w:lang w:val="en-US"/>
        </w:rPr>
        <w:t xml:space="preserve"> was applied here without any adjustments.</w:t>
      </w:r>
    </w:p>
    <w:p w14:paraId="00779877" w14:textId="1800B18F" w:rsidR="2EFA8758" w:rsidRPr="00E204F6" w:rsidRDefault="0A315358" w:rsidP="76C0B922">
      <w:pPr>
        <w:spacing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color w:val="000000" w:themeColor="text1"/>
          <w:sz w:val="24"/>
          <w:szCs w:val="24"/>
          <w:lang w:val="en-US"/>
        </w:rPr>
        <w:t xml:space="preserve">This total concomitant medication cost per cycle was used in each cycle of the model trace, applied to the people in the </w:t>
      </w:r>
      <w:r w:rsidR="76C76534" w:rsidRPr="00E204F6">
        <w:rPr>
          <w:rFonts w:ascii="Times New Roman" w:eastAsia="Times New Roman" w:hAnsi="Times New Roman" w:cs="Times New Roman"/>
          <w:color w:val="000000" w:themeColor="text1"/>
          <w:sz w:val="24"/>
          <w:szCs w:val="24"/>
          <w:lang w:val="en-US"/>
        </w:rPr>
        <w:t>PD</w:t>
      </w:r>
      <w:r w:rsidRPr="00E204F6">
        <w:rPr>
          <w:rFonts w:ascii="Times New Roman" w:eastAsia="Times New Roman" w:hAnsi="Times New Roman" w:cs="Times New Roman"/>
          <w:color w:val="000000" w:themeColor="text1"/>
          <w:sz w:val="24"/>
          <w:szCs w:val="24"/>
          <w:lang w:val="en-US"/>
        </w:rPr>
        <w:t xml:space="preserve"> state. Half cycle correction was applied, since </w:t>
      </w:r>
      <w:r w:rsidR="57E8F876" w:rsidRPr="00E204F6">
        <w:rPr>
          <w:rFonts w:ascii="Times New Roman" w:eastAsia="Times New Roman" w:hAnsi="Times New Roman" w:cs="Times New Roman"/>
          <w:color w:val="000000" w:themeColor="text1"/>
          <w:sz w:val="24"/>
          <w:szCs w:val="24"/>
          <w:lang w:val="en-US"/>
        </w:rPr>
        <w:t>Prednisolone</w:t>
      </w:r>
      <w:r w:rsidRPr="00E204F6">
        <w:rPr>
          <w:rFonts w:ascii="Times New Roman" w:eastAsia="Times New Roman" w:hAnsi="Times New Roman" w:cs="Times New Roman"/>
          <w:color w:val="000000" w:themeColor="text1"/>
          <w:sz w:val="24"/>
          <w:szCs w:val="24"/>
          <w:lang w:val="en-US"/>
        </w:rPr>
        <w:t xml:space="preserve"> was taken twice each day and for the LHRH medication the moment of taking the medicine was unknown.</w:t>
      </w:r>
    </w:p>
    <w:p w14:paraId="467B6CF4" w14:textId="6A3D8DAD" w:rsidR="2EFA8758" w:rsidRPr="00E204F6" w:rsidRDefault="2EFA8758" w:rsidP="76C0B922">
      <w:pPr>
        <w:spacing w:line="257" w:lineRule="auto"/>
        <w:rPr>
          <w:rFonts w:ascii="Times New Roman" w:eastAsia="Times New Roman" w:hAnsi="Times New Roman" w:cs="Times New Roman"/>
          <w:i/>
          <w:iCs/>
          <w:color w:val="000000" w:themeColor="text1"/>
          <w:sz w:val="24"/>
          <w:szCs w:val="24"/>
          <w:lang w:val="en-US"/>
        </w:rPr>
      </w:pPr>
    </w:p>
    <w:p w14:paraId="3C175058" w14:textId="21F1FC49" w:rsidR="2EFA8758" w:rsidRPr="00E204F6" w:rsidRDefault="0A315358" w:rsidP="0061473B">
      <w:pPr>
        <w:spacing w:after="0"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i/>
          <w:iCs/>
          <w:color w:val="000000" w:themeColor="text1"/>
          <w:sz w:val="24"/>
          <w:szCs w:val="24"/>
          <w:lang w:val="en-US"/>
        </w:rPr>
        <w:t>Health care resource use costs</w:t>
      </w:r>
    </w:p>
    <w:p w14:paraId="59551299" w14:textId="112B8208" w:rsidR="2EFA8758" w:rsidRPr="00E204F6" w:rsidRDefault="25A8556A" w:rsidP="00764795">
      <w:pPr>
        <w:spacing w:after="240" w:line="257" w:lineRule="auto"/>
        <w:rPr>
          <w:rFonts w:ascii="Times New Roman" w:eastAsia="Times New Roman" w:hAnsi="Times New Roman" w:cs="Times New Roman"/>
          <w:sz w:val="24"/>
          <w:szCs w:val="24"/>
          <w:lang w:val="en-US"/>
        </w:rPr>
      </w:pPr>
      <w:r w:rsidRPr="00E204F6">
        <w:rPr>
          <w:rFonts w:ascii="Times New Roman" w:eastAsia="Times New Roman" w:hAnsi="Times New Roman" w:cs="Times New Roman"/>
          <w:sz w:val="24"/>
          <w:szCs w:val="24"/>
          <w:lang w:val="en-US"/>
        </w:rPr>
        <w:t xml:space="preserve">The frequency of health care resource use is different for patients who only have supportive care compared to patients that also receive an additional line of chemotherapy. It is assumed that the urology ward has the same unit cost of 824 pounds as the oncology and general ward, and that the average length of stay in the oncology, general or urology ward is 6.5 days. Again, we chose to sample the costs and average length of stay for the different wards differently, with the same reasoning as before in </w:t>
      </w:r>
      <w:r w:rsidR="0188011E" w:rsidRPr="00E204F6">
        <w:rPr>
          <w:rFonts w:ascii="Times New Roman" w:eastAsia="Times New Roman" w:hAnsi="Times New Roman" w:cs="Times New Roman"/>
          <w:sz w:val="24"/>
          <w:szCs w:val="24"/>
          <w:lang w:val="en-US"/>
        </w:rPr>
        <w:t>SD</w:t>
      </w:r>
      <w:r w:rsidRPr="00E204F6">
        <w:rPr>
          <w:rFonts w:ascii="Times New Roman" w:eastAsia="Times New Roman" w:hAnsi="Times New Roman" w:cs="Times New Roman"/>
          <w:sz w:val="24"/>
          <w:szCs w:val="24"/>
          <w:lang w:val="en-US"/>
        </w:rPr>
        <w:t xml:space="preserve">. The health care resource use and cost are presented in </w:t>
      </w:r>
      <w:r w:rsidR="3A510701" w:rsidRPr="00E204F6">
        <w:rPr>
          <w:rFonts w:ascii="Times New Roman" w:eastAsia="Times New Roman" w:hAnsi="Times New Roman" w:cs="Times New Roman"/>
          <w:sz w:val="24"/>
          <w:szCs w:val="24"/>
          <w:lang w:val="en-US"/>
        </w:rPr>
        <w:t>Table</w:t>
      </w:r>
      <w:r w:rsidRPr="00E204F6">
        <w:rPr>
          <w:rFonts w:ascii="Times New Roman" w:eastAsia="Times New Roman" w:hAnsi="Times New Roman" w:cs="Times New Roman"/>
          <w:sz w:val="24"/>
          <w:szCs w:val="24"/>
          <w:lang w:val="en-US"/>
        </w:rPr>
        <w:t xml:space="preserve"> 1</w:t>
      </w:r>
      <w:r w:rsidR="70BFC8DD" w:rsidRPr="00E204F6">
        <w:rPr>
          <w:rFonts w:ascii="Times New Roman" w:eastAsia="Times New Roman" w:hAnsi="Times New Roman" w:cs="Times New Roman"/>
          <w:sz w:val="24"/>
          <w:szCs w:val="24"/>
          <w:lang w:val="en-US"/>
        </w:rPr>
        <w:t>4</w:t>
      </w:r>
      <w:r w:rsidRPr="00E204F6">
        <w:rPr>
          <w:rFonts w:ascii="Times New Roman" w:eastAsia="Times New Roman" w:hAnsi="Times New Roman" w:cs="Times New Roman"/>
          <w:sz w:val="24"/>
          <w:szCs w:val="24"/>
          <w:lang w:val="en-US"/>
        </w:rPr>
        <w:t>.</w:t>
      </w:r>
    </w:p>
    <w:p w14:paraId="0AB085FB" w14:textId="2E9B8EEA" w:rsidR="2EFA8758" w:rsidRPr="00E204F6" w:rsidRDefault="25A8556A" w:rsidP="76C0B922">
      <w:pPr>
        <w:spacing w:before="240" w:after="240" w:line="257" w:lineRule="auto"/>
        <w:rPr>
          <w:rFonts w:ascii="Times New Roman" w:eastAsia="Times New Roman" w:hAnsi="Times New Roman" w:cs="Times New Roman"/>
          <w:sz w:val="24"/>
          <w:szCs w:val="24"/>
          <w:lang w:val="en-US"/>
        </w:rPr>
      </w:pPr>
      <w:r w:rsidRPr="00E204F6">
        <w:rPr>
          <w:rFonts w:ascii="Times New Roman" w:eastAsia="Times New Roman" w:hAnsi="Times New Roman" w:cs="Times New Roman"/>
          <w:sz w:val="24"/>
          <w:szCs w:val="24"/>
          <w:lang w:val="en-US"/>
        </w:rPr>
        <w:t xml:space="preserve">The same calculation steps are followed as for the health care resource use cost in </w:t>
      </w:r>
      <w:r w:rsidR="0DE97C9B" w:rsidRPr="00E204F6">
        <w:rPr>
          <w:rFonts w:ascii="Times New Roman" w:eastAsia="Times New Roman" w:hAnsi="Times New Roman" w:cs="Times New Roman"/>
          <w:sz w:val="24"/>
          <w:szCs w:val="24"/>
          <w:lang w:val="en-US"/>
        </w:rPr>
        <w:t>SD</w:t>
      </w:r>
      <w:r w:rsidRPr="00E204F6">
        <w:rPr>
          <w:rFonts w:ascii="Times New Roman" w:eastAsia="Times New Roman" w:hAnsi="Times New Roman" w:cs="Times New Roman"/>
          <w:sz w:val="24"/>
          <w:szCs w:val="24"/>
          <w:lang w:val="en-US"/>
        </w:rPr>
        <w:t>. The only difference is that we did this calculation now two times, once for the best supportive care patients only and once for the patients that also receive additional chemotherapy. After obtaining these total health care resource use costs per cycle, the costs still need to be adjusted for the proportion of patients that receive either best supportive care only or also the additional chemotherapy. The sum of these two adjusted costs resulted in the total healthcare resource use cost per cycle that is used in each cycle of the model trace, applied to the people in the PD health state. Half-cycle correction was applied here, since it is unknown when patients use healthcare resources.</w:t>
      </w:r>
    </w:p>
    <w:p w14:paraId="4AA91588" w14:textId="77777777" w:rsidR="0061473B" w:rsidRDefault="0061473B" w:rsidP="76C0B922">
      <w:pPr>
        <w:spacing w:line="257" w:lineRule="auto"/>
        <w:rPr>
          <w:rFonts w:ascii="Times New Roman" w:eastAsia="Times New Roman" w:hAnsi="Times New Roman" w:cs="Times New Roman"/>
          <w:b/>
          <w:bCs/>
          <w:color w:val="000000" w:themeColor="text1"/>
          <w:sz w:val="24"/>
          <w:szCs w:val="24"/>
          <w:lang w:val="en-US"/>
        </w:rPr>
      </w:pPr>
    </w:p>
    <w:p w14:paraId="04132437" w14:textId="77777777" w:rsidR="0061473B" w:rsidRDefault="0061473B" w:rsidP="76C0B922">
      <w:pPr>
        <w:spacing w:line="257" w:lineRule="auto"/>
        <w:rPr>
          <w:rFonts w:ascii="Times New Roman" w:eastAsia="Times New Roman" w:hAnsi="Times New Roman" w:cs="Times New Roman"/>
          <w:b/>
          <w:bCs/>
          <w:color w:val="000000" w:themeColor="text1"/>
          <w:sz w:val="24"/>
          <w:szCs w:val="24"/>
          <w:lang w:val="en-US"/>
        </w:rPr>
      </w:pPr>
    </w:p>
    <w:p w14:paraId="405FD10D" w14:textId="77777777" w:rsidR="0061473B" w:rsidRDefault="0061473B" w:rsidP="76C0B922">
      <w:pPr>
        <w:spacing w:line="257" w:lineRule="auto"/>
        <w:rPr>
          <w:rFonts w:ascii="Times New Roman" w:eastAsia="Times New Roman" w:hAnsi="Times New Roman" w:cs="Times New Roman"/>
          <w:b/>
          <w:bCs/>
          <w:color w:val="000000" w:themeColor="text1"/>
          <w:sz w:val="24"/>
          <w:szCs w:val="24"/>
          <w:lang w:val="en-US"/>
        </w:rPr>
      </w:pPr>
    </w:p>
    <w:p w14:paraId="5AFC07D8" w14:textId="77777777" w:rsidR="0061473B" w:rsidRDefault="0061473B" w:rsidP="76C0B922">
      <w:pPr>
        <w:spacing w:line="257" w:lineRule="auto"/>
        <w:rPr>
          <w:rFonts w:ascii="Times New Roman" w:eastAsia="Times New Roman" w:hAnsi="Times New Roman" w:cs="Times New Roman"/>
          <w:b/>
          <w:bCs/>
          <w:color w:val="000000" w:themeColor="text1"/>
          <w:sz w:val="24"/>
          <w:szCs w:val="24"/>
          <w:lang w:val="en-US"/>
        </w:rPr>
      </w:pPr>
    </w:p>
    <w:p w14:paraId="6B66B96B" w14:textId="77777777" w:rsidR="0061473B" w:rsidRDefault="0061473B" w:rsidP="76C0B922">
      <w:pPr>
        <w:spacing w:line="257" w:lineRule="auto"/>
        <w:rPr>
          <w:rFonts w:ascii="Times New Roman" w:eastAsia="Times New Roman" w:hAnsi="Times New Roman" w:cs="Times New Roman"/>
          <w:b/>
          <w:bCs/>
          <w:color w:val="000000" w:themeColor="text1"/>
          <w:sz w:val="24"/>
          <w:szCs w:val="24"/>
          <w:lang w:val="en-US"/>
        </w:rPr>
      </w:pPr>
    </w:p>
    <w:p w14:paraId="75732D8B" w14:textId="77777777" w:rsidR="0061473B" w:rsidRDefault="0061473B" w:rsidP="76C0B922">
      <w:pPr>
        <w:spacing w:line="257" w:lineRule="auto"/>
        <w:rPr>
          <w:rFonts w:ascii="Times New Roman" w:eastAsia="Times New Roman" w:hAnsi="Times New Roman" w:cs="Times New Roman"/>
          <w:b/>
          <w:bCs/>
          <w:color w:val="000000" w:themeColor="text1"/>
          <w:sz w:val="24"/>
          <w:szCs w:val="24"/>
          <w:lang w:val="en-US"/>
        </w:rPr>
      </w:pPr>
    </w:p>
    <w:p w14:paraId="4C3838E1" w14:textId="77777777" w:rsidR="0061473B" w:rsidRDefault="0061473B" w:rsidP="76C0B922">
      <w:pPr>
        <w:spacing w:line="257" w:lineRule="auto"/>
        <w:rPr>
          <w:rFonts w:ascii="Times New Roman" w:eastAsia="Times New Roman" w:hAnsi="Times New Roman" w:cs="Times New Roman"/>
          <w:b/>
          <w:bCs/>
          <w:color w:val="000000" w:themeColor="text1"/>
          <w:sz w:val="24"/>
          <w:szCs w:val="24"/>
          <w:lang w:val="en-US"/>
        </w:rPr>
      </w:pPr>
    </w:p>
    <w:p w14:paraId="04ED5181" w14:textId="77777777" w:rsidR="0061473B" w:rsidRDefault="0061473B" w:rsidP="76C0B922">
      <w:pPr>
        <w:spacing w:line="257" w:lineRule="auto"/>
        <w:rPr>
          <w:rFonts w:ascii="Times New Roman" w:eastAsia="Times New Roman" w:hAnsi="Times New Roman" w:cs="Times New Roman"/>
          <w:b/>
          <w:bCs/>
          <w:color w:val="000000" w:themeColor="text1"/>
          <w:sz w:val="24"/>
          <w:szCs w:val="24"/>
          <w:lang w:val="en-US"/>
        </w:rPr>
      </w:pPr>
    </w:p>
    <w:p w14:paraId="381FC703" w14:textId="77777777" w:rsidR="0061473B" w:rsidRDefault="0061473B" w:rsidP="76C0B922">
      <w:pPr>
        <w:spacing w:line="257" w:lineRule="auto"/>
        <w:rPr>
          <w:rFonts w:ascii="Times New Roman" w:eastAsia="Times New Roman" w:hAnsi="Times New Roman" w:cs="Times New Roman"/>
          <w:b/>
          <w:bCs/>
          <w:color w:val="000000" w:themeColor="text1"/>
          <w:sz w:val="24"/>
          <w:szCs w:val="24"/>
          <w:lang w:val="en-US"/>
        </w:rPr>
      </w:pPr>
    </w:p>
    <w:p w14:paraId="679E7D78" w14:textId="77777777" w:rsidR="0061473B" w:rsidRDefault="0061473B" w:rsidP="76C0B922">
      <w:pPr>
        <w:spacing w:line="257" w:lineRule="auto"/>
        <w:rPr>
          <w:rFonts w:ascii="Times New Roman" w:eastAsia="Times New Roman" w:hAnsi="Times New Roman" w:cs="Times New Roman"/>
          <w:b/>
          <w:bCs/>
          <w:color w:val="000000" w:themeColor="text1"/>
          <w:sz w:val="24"/>
          <w:szCs w:val="24"/>
          <w:lang w:val="en-US"/>
        </w:rPr>
      </w:pPr>
    </w:p>
    <w:p w14:paraId="1E2B5CB5" w14:textId="77777777" w:rsidR="00764795" w:rsidRDefault="00764795" w:rsidP="76C0B922">
      <w:pPr>
        <w:spacing w:line="257" w:lineRule="auto"/>
        <w:rPr>
          <w:rFonts w:ascii="Times New Roman" w:eastAsia="Times New Roman" w:hAnsi="Times New Roman" w:cs="Times New Roman"/>
          <w:b/>
          <w:bCs/>
          <w:color w:val="000000" w:themeColor="text1"/>
          <w:sz w:val="24"/>
          <w:szCs w:val="24"/>
          <w:lang w:val="en-US"/>
        </w:rPr>
      </w:pPr>
    </w:p>
    <w:p w14:paraId="2B1AC951" w14:textId="77777777" w:rsidR="0061473B" w:rsidRDefault="0061473B" w:rsidP="76C0B922">
      <w:pPr>
        <w:spacing w:line="257" w:lineRule="auto"/>
        <w:rPr>
          <w:rFonts w:ascii="Times New Roman" w:eastAsia="Times New Roman" w:hAnsi="Times New Roman" w:cs="Times New Roman"/>
          <w:b/>
          <w:bCs/>
          <w:color w:val="000000" w:themeColor="text1"/>
          <w:sz w:val="24"/>
          <w:szCs w:val="24"/>
          <w:lang w:val="en-US"/>
        </w:rPr>
      </w:pPr>
    </w:p>
    <w:p w14:paraId="2E2CD877" w14:textId="46404819" w:rsidR="2EFA8758" w:rsidRDefault="3A510701" w:rsidP="76C0B922">
      <w:pPr>
        <w:spacing w:line="257" w:lineRule="auto"/>
        <w:rPr>
          <w:rFonts w:ascii="Times New Roman" w:eastAsia="Times New Roman" w:hAnsi="Times New Roman" w:cs="Times New Roman"/>
          <w:b/>
          <w:bCs/>
          <w:color w:val="000000" w:themeColor="text1"/>
          <w:sz w:val="24"/>
          <w:szCs w:val="24"/>
          <w:lang w:val="en-US"/>
        </w:rPr>
      </w:pPr>
      <w:r w:rsidRPr="00E204F6">
        <w:rPr>
          <w:rFonts w:ascii="Times New Roman" w:eastAsia="Times New Roman" w:hAnsi="Times New Roman" w:cs="Times New Roman"/>
          <w:b/>
          <w:bCs/>
          <w:color w:val="000000" w:themeColor="text1"/>
          <w:sz w:val="24"/>
          <w:szCs w:val="24"/>
          <w:lang w:val="en-US"/>
        </w:rPr>
        <w:lastRenderedPageBreak/>
        <w:t>Table</w:t>
      </w:r>
      <w:r w:rsidR="0A315358" w:rsidRPr="00E204F6">
        <w:rPr>
          <w:rFonts w:ascii="Times New Roman" w:eastAsia="Times New Roman" w:hAnsi="Times New Roman" w:cs="Times New Roman"/>
          <w:b/>
          <w:bCs/>
          <w:color w:val="000000" w:themeColor="text1"/>
          <w:sz w:val="24"/>
          <w:szCs w:val="24"/>
          <w:lang w:val="en-US"/>
        </w:rPr>
        <w:t xml:space="preserve"> 1</w:t>
      </w:r>
      <w:r w:rsidR="06EA5F80" w:rsidRPr="00E204F6">
        <w:rPr>
          <w:rFonts w:ascii="Times New Roman" w:eastAsia="Times New Roman" w:hAnsi="Times New Roman" w:cs="Times New Roman"/>
          <w:b/>
          <w:bCs/>
          <w:color w:val="000000" w:themeColor="text1"/>
          <w:sz w:val="24"/>
          <w:szCs w:val="24"/>
          <w:lang w:val="en-US"/>
        </w:rPr>
        <w:t>4</w:t>
      </w:r>
      <w:r w:rsidR="0A315358" w:rsidRPr="00E204F6">
        <w:rPr>
          <w:rFonts w:ascii="Times New Roman" w:eastAsia="Times New Roman" w:hAnsi="Times New Roman" w:cs="Times New Roman"/>
          <w:b/>
          <w:bCs/>
          <w:color w:val="000000" w:themeColor="text1"/>
          <w:sz w:val="24"/>
          <w:szCs w:val="24"/>
          <w:lang w:val="en-US"/>
        </w:rPr>
        <w:t>.</w:t>
      </w:r>
      <w:r w:rsidR="0A315358" w:rsidRPr="00E204F6">
        <w:rPr>
          <w:rFonts w:ascii="Times New Roman" w:eastAsia="Times New Roman" w:hAnsi="Times New Roman" w:cs="Times New Roman"/>
          <w:color w:val="000000" w:themeColor="text1"/>
          <w:sz w:val="24"/>
          <w:szCs w:val="24"/>
          <w:lang w:val="en-US"/>
        </w:rPr>
        <w:t xml:space="preserve"> </w:t>
      </w:r>
      <w:r w:rsidR="0A315358" w:rsidRPr="00E204F6">
        <w:rPr>
          <w:rFonts w:ascii="Times New Roman" w:eastAsia="Times New Roman" w:hAnsi="Times New Roman" w:cs="Times New Roman"/>
          <w:b/>
          <w:bCs/>
          <w:color w:val="000000" w:themeColor="text1"/>
          <w:sz w:val="24"/>
          <w:szCs w:val="24"/>
          <w:lang w:val="en-US"/>
        </w:rPr>
        <w:t>Health care</w:t>
      </w:r>
      <w:r w:rsidR="0A315358" w:rsidRPr="00E204F6">
        <w:rPr>
          <w:rFonts w:ascii="Times New Roman" w:eastAsia="Times New Roman" w:hAnsi="Times New Roman" w:cs="Times New Roman"/>
          <w:color w:val="000000" w:themeColor="text1"/>
          <w:sz w:val="24"/>
          <w:szCs w:val="24"/>
          <w:lang w:val="en-US"/>
        </w:rPr>
        <w:t xml:space="preserve"> </w:t>
      </w:r>
      <w:r w:rsidR="0A315358" w:rsidRPr="00E204F6">
        <w:rPr>
          <w:rFonts w:ascii="Times New Roman" w:eastAsia="Times New Roman" w:hAnsi="Times New Roman" w:cs="Times New Roman"/>
          <w:b/>
          <w:bCs/>
          <w:color w:val="000000" w:themeColor="text1"/>
          <w:sz w:val="24"/>
          <w:szCs w:val="24"/>
          <w:lang w:val="en-US"/>
        </w:rPr>
        <w:t>resource use and cost per cycle, PD</w:t>
      </w:r>
    </w:p>
    <w:p w14:paraId="13145432" w14:textId="35BC9866" w:rsidR="0061473B" w:rsidRDefault="0061473B" w:rsidP="76C0B922">
      <w:pPr>
        <w:spacing w:line="257" w:lineRule="auto"/>
        <w:rPr>
          <w:rFonts w:ascii="Times New Roman" w:eastAsia="Times New Roman" w:hAnsi="Times New Roman" w:cs="Times New Roman"/>
          <w:b/>
          <w:bCs/>
          <w:color w:val="000000" w:themeColor="text1"/>
          <w:sz w:val="24"/>
          <w:szCs w:val="24"/>
          <w:lang w:val="en-US"/>
        </w:rPr>
      </w:pPr>
      <w:r>
        <w:rPr>
          <w:noProof/>
        </w:rPr>
        <w:drawing>
          <wp:inline distT="0" distB="0" distL="0" distR="0" wp14:anchorId="1F2F4205" wp14:editId="5BA762F2">
            <wp:extent cx="5760720" cy="5811520"/>
            <wp:effectExtent l="0" t="0" r="0" b="0"/>
            <wp:docPr id="1241291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291668" name=""/>
                    <pic:cNvPicPr/>
                  </pic:nvPicPr>
                  <pic:blipFill>
                    <a:blip r:embed="rId24"/>
                    <a:stretch>
                      <a:fillRect/>
                    </a:stretch>
                  </pic:blipFill>
                  <pic:spPr>
                    <a:xfrm>
                      <a:off x="0" y="0"/>
                      <a:ext cx="5760720" cy="5811520"/>
                    </a:xfrm>
                    <a:prstGeom prst="rect">
                      <a:avLst/>
                    </a:prstGeom>
                  </pic:spPr>
                </pic:pic>
              </a:graphicData>
            </a:graphic>
          </wp:inline>
        </w:drawing>
      </w:r>
    </w:p>
    <w:p w14:paraId="0FB31B75" w14:textId="77777777" w:rsidR="00403F5A" w:rsidRDefault="00403F5A" w:rsidP="0061473B">
      <w:pPr>
        <w:spacing w:after="0" w:line="257" w:lineRule="auto"/>
        <w:rPr>
          <w:rFonts w:ascii="Times New Roman" w:eastAsia="Times New Roman" w:hAnsi="Times New Roman" w:cs="Times New Roman"/>
          <w:i/>
          <w:iCs/>
          <w:color w:val="000000" w:themeColor="text1"/>
          <w:sz w:val="24"/>
          <w:szCs w:val="24"/>
        </w:rPr>
      </w:pPr>
    </w:p>
    <w:p w14:paraId="63459465" w14:textId="346B33E8" w:rsidR="2EFA8758" w:rsidRPr="00E204F6" w:rsidRDefault="0A315358" w:rsidP="0061473B">
      <w:pPr>
        <w:spacing w:after="0" w:line="257" w:lineRule="auto"/>
        <w:rPr>
          <w:rFonts w:ascii="Times New Roman" w:eastAsia="Times New Roman" w:hAnsi="Times New Roman" w:cs="Times New Roman"/>
          <w:color w:val="000000" w:themeColor="text1"/>
          <w:sz w:val="24"/>
          <w:szCs w:val="24"/>
          <w:lang w:val="en-US"/>
        </w:rPr>
      </w:pPr>
      <w:r w:rsidRPr="00E204F6">
        <w:rPr>
          <w:rFonts w:ascii="Times New Roman" w:eastAsia="Times New Roman" w:hAnsi="Times New Roman" w:cs="Times New Roman"/>
          <w:i/>
          <w:iCs/>
          <w:color w:val="000000" w:themeColor="text1"/>
          <w:sz w:val="24"/>
          <w:szCs w:val="24"/>
        </w:rPr>
        <w:t>Best supportive care costs</w:t>
      </w:r>
    </w:p>
    <w:p w14:paraId="32402E3E" w14:textId="5FB90BE0" w:rsidR="2EFA8758" w:rsidRPr="00E204F6" w:rsidRDefault="2D480230" w:rsidP="0061473B">
      <w:pPr>
        <w:spacing w:after="0" w:line="257" w:lineRule="auto"/>
        <w:rPr>
          <w:rFonts w:ascii="Times New Roman" w:eastAsia="Times New Roman" w:hAnsi="Times New Roman" w:cs="Times New Roman"/>
          <w:color w:val="000000" w:themeColor="text1"/>
          <w:sz w:val="24"/>
          <w:szCs w:val="24"/>
        </w:rPr>
      </w:pPr>
      <w:r w:rsidRPr="00E204F6">
        <w:rPr>
          <w:rFonts w:ascii="Times New Roman" w:eastAsia="Times New Roman" w:hAnsi="Times New Roman" w:cs="Times New Roman"/>
          <w:sz w:val="24"/>
          <w:szCs w:val="24"/>
          <w:lang w:val="en-US"/>
        </w:rPr>
        <w:t xml:space="preserve">Each patient gets best supportive care after they progress, which consists of steroids, analgesics, bisphosphonate and palliative radiotherapy. For this, an overall cost of 41.68 pounds per cycle was used, which comes from the ERG report of TA391, p115. The cost price applies to the year 2014/2015 (41.68 pounds) and was therefore adjusted to the 2023/2024 price index by using the NHS Cost Inflation Indices (NHSCII), obtained from the Personal Social Services Research Unit, covering the period 2015/2016 to 2023/2024. This resulted in a total cost of 52.82 pounds per cycle. </w:t>
      </w:r>
    </w:p>
    <w:p w14:paraId="0C0B18D3" w14:textId="02A1A552" w:rsidR="2EFA8758" w:rsidRPr="00E204F6" w:rsidRDefault="0A315358" w:rsidP="76C0B922">
      <w:pPr>
        <w:spacing w:line="257" w:lineRule="auto"/>
        <w:rPr>
          <w:rFonts w:ascii="Times New Roman" w:eastAsia="Times New Roman" w:hAnsi="Times New Roman" w:cs="Times New Roman"/>
          <w:color w:val="000000" w:themeColor="text1"/>
          <w:sz w:val="24"/>
          <w:szCs w:val="24"/>
        </w:rPr>
      </w:pPr>
      <w:r w:rsidRPr="00E204F6">
        <w:rPr>
          <w:rFonts w:ascii="Times New Roman" w:eastAsia="Times New Roman" w:hAnsi="Times New Roman" w:cs="Times New Roman"/>
          <w:color w:val="000000" w:themeColor="text1"/>
          <w:sz w:val="24"/>
          <w:szCs w:val="24"/>
          <w:lang w:val="en-US"/>
        </w:rPr>
        <w:t>After calculating the total supportive care cost per cycle, these costs were used in each cycle of the model trace, applied to the people in the progression health state. Half cycle correction is used here, since it is unknown when best supportive care was given to the patients.</w:t>
      </w:r>
    </w:p>
    <w:p w14:paraId="45D3FB42" w14:textId="6E542408" w:rsidR="2EFA8758" w:rsidRPr="00E204F6" w:rsidRDefault="2EFA8758" w:rsidP="76C0B922">
      <w:pPr>
        <w:spacing w:line="257" w:lineRule="auto"/>
        <w:rPr>
          <w:rFonts w:ascii="Times New Roman" w:eastAsia="Times New Roman" w:hAnsi="Times New Roman" w:cs="Times New Roman"/>
          <w:color w:val="000000" w:themeColor="text1"/>
          <w:sz w:val="24"/>
          <w:szCs w:val="24"/>
          <w:lang w:val="en-US"/>
        </w:rPr>
      </w:pPr>
    </w:p>
    <w:p w14:paraId="2634E58D" w14:textId="4481F721" w:rsidR="2EFA8758" w:rsidRPr="00E204F6" w:rsidRDefault="0A315358" w:rsidP="4317C20E">
      <w:pPr>
        <w:spacing w:before="240" w:after="240" w:line="257" w:lineRule="auto"/>
        <w:rPr>
          <w:rFonts w:ascii="Times New Roman" w:eastAsia="Times New Roman" w:hAnsi="Times New Roman" w:cs="Times New Roman"/>
          <w:sz w:val="24"/>
          <w:szCs w:val="24"/>
          <w:lang w:val="en-US"/>
        </w:rPr>
      </w:pPr>
      <w:r w:rsidRPr="4317C20E">
        <w:rPr>
          <w:rFonts w:ascii="Times New Roman" w:eastAsia="Times New Roman" w:hAnsi="Times New Roman" w:cs="Times New Roman"/>
          <w:b/>
          <w:bCs/>
          <w:color w:val="000000" w:themeColor="text1"/>
          <w:sz w:val="24"/>
          <w:szCs w:val="24"/>
          <w:lang w:val="en-US"/>
        </w:rPr>
        <w:lastRenderedPageBreak/>
        <w:t>End of life costs</w:t>
      </w:r>
    </w:p>
    <w:p w14:paraId="6AE41279" w14:textId="528FBE66" w:rsidR="2EFA8758" w:rsidRPr="00E204F6" w:rsidRDefault="6EA2BCFC" w:rsidP="76C0B922">
      <w:pPr>
        <w:spacing w:before="240" w:after="240" w:line="257" w:lineRule="auto"/>
        <w:rPr>
          <w:rFonts w:ascii="Times New Roman" w:eastAsia="Times New Roman" w:hAnsi="Times New Roman" w:cs="Times New Roman"/>
          <w:sz w:val="24"/>
          <w:szCs w:val="24"/>
          <w:lang w:val="en-US"/>
        </w:rPr>
      </w:pPr>
      <w:r w:rsidRPr="4317C20E">
        <w:rPr>
          <w:rFonts w:ascii="Times New Roman" w:eastAsia="Times New Roman" w:hAnsi="Times New Roman" w:cs="Times New Roman"/>
          <w:sz w:val="24"/>
          <w:szCs w:val="24"/>
          <w:lang w:val="en-US"/>
        </w:rPr>
        <w:t>The end-of-life cost is assumed to be 6,202 pounds, assumed to consist of 30 days of palliative care, where the average value for those above an age of 19 is taken from the PSSRU 2023. The cost price applies to the year 2023 and was therefore adjusted to the 2023/2024</w:t>
      </w:r>
      <w:r w:rsidRPr="4317C20E">
        <w:rPr>
          <w:rFonts w:ascii="Times New Roman" w:eastAsia="Times New Roman" w:hAnsi="Times New Roman" w:cs="Times New Roman"/>
          <w:sz w:val="24"/>
          <w:szCs w:val="24"/>
        </w:rPr>
        <w:t xml:space="preserve"> </w:t>
      </w:r>
      <w:r w:rsidRPr="4317C20E">
        <w:rPr>
          <w:rFonts w:ascii="Times New Roman" w:eastAsia="Times New Roman" w:hAnsi="Times New Roman" w:cs="Times New Roman"/>
          <w:sz w:val="24"/>
          <w:szCs w:val="24"/>
          <w:lang w:val="en-US"/>
        </w:rPr>
        <w:t>price index by using the NHS Cost Inflation Index 2023/2024 (NHSCII), obtained from the Personal Social Services Research Unit, resulting in a total cost of £6,469.31.</w:t>
      </w:r>
    </w:p>
    <w:p w14:paraId="5EE5CC4B" w14:textId="4C76C144" w:rsidR="2EFA8758" w:rsidRPr="00E204F6" w:rsidRDefault="6EA2BCFC" w:rsidP="76C0B922">
      <w:pPr>
        <w:spacing w:before="240" w:after="240" w:line="257" w:lineRule="auto"/>
        <w:rPr>
          <w:rFonts w:ascii="Times New Roman" w:eastAsia="Times New Roman" w:hAnsi="Times New Roman" w:cs="Times New Roman"/>
          <w:sz w:val="24"/>
          <w:szCs w:val="24"/>
          <w:lang w:val="en-US"/>
        </w:rPr>
      </w:pPr>
      <w:r w:rsidRPr="30076135">
        <w:rPr>
          <w:rFonts w:ascii="Times New Roman" w:eastAsia="Times New Roman" w:hAnsi="Times New Roman" w:cs="Times New Roman"/>
          <w:sz w:val="24"/>
          <w:szCs w:val="24"/>
          <w:lang w:val="en-US"/>
        </w:rPr>
        <w:t>This cost was applied in each cycle of the model trace to all patients that enter the death health state during that cycle. These are the 'newly died' patients in the model trace. No half-cycle correction was applied here, since this is a transition cost and not a health state cost.</w:t>
      </w:r>
    </w:p>
    <w:p w14:paraId="6685AFD6" w14:textId="03B4899F" w:rsidR="30076135" w:rsidRDefault="30076135" w:rsidP="30076135">
      <w:pPr>
        <w:spacing w:before="240" w:after="240" w:line="257" w:lineRule="auto"/>
        <w:rPr>
          <w:rFonts w:ascii="Times New Roman" w:eastAsia="Times New Roman" w:hAnsi="Times New Roman" w:cs="Times New Roman"/>
          <w:sz w:val="24"/>
          <w:szCs w:val="24"/>
          <w:lang w:val="en-US"/>
        </w:rPr>
      </w:pPr>
    </w:p>
    <w:p w14:paraId="2FC21E0D" w14:textId="4EBD549E" w:rsidR="414BDE76" w:rsidRDefault="414BDE76" w:rsidP="2D08A563">
      <w:pPr>
        <w:spacing w:line="257" w:lineRule="auto"/>
        <w:rPr>
          <w:rFonts w:ascii="Times New Roman" w:eastAsia="Times New Roman" w:hAnsi="Times New Roman" w:cs="Times New Roman"/>
          <w:b/>
          <w:bCs/>
          <w:sz w:val="24"/>
          <w:szCs w:val="24"/>
          <w:lang w:val="en-US"/>
        </w:rPr>
      </w:pPr>
      <w:r w:rsidRPr="2D08A563">
        <w:rPr>
          <w:rFonts w:ascii="Times New Roman" w:eastAsia="Times New Roman" w:hAnsi="Times New Roman" w:cs="Times New Roman"/>
          <w:b/>
          <w:bCs/>
          <w:sz w:val="24"/>
          <w:szCs w:val="24"/>
          <w:lang w:val="en-US"/>
        </w:rPr>
        <w:t>Application to model trace</w:t>
      </w:r>
    </w:p>
    <w:p w14:paraId="7EBD0298" w14:textId="7323958F" w:rsidR="2EFA8758" w:rsidRPr="00E204F6" w:rsidRDefault="51E045CA" w:rsidP="76C0B922">
      <w:pPr>
        <w:spacing w:line="257" w:lineRule="auto"/>
        <w:rPr>
          <w:rFonts w:ascii="Times New Roman" w:eastAsia="Times New Roman" w:hAnsi="Times New Roman" w:cs="Times New Roman"/>
          <w:sz w:val="24"/>
          <w:szCs w:val="24"/>
          <w:lang w:val="en-US"/>
        </w:rPr>
      </w:pPr>
      <w:r w:rsidRPr="30076135">
        <w:rPr>
          <w:rFonts w:ascii="Times New Roman" w:eastAsia="Times New Roman" w:hAnsi="Times New Roman" w:cs="Times New Roman"/>
          <w:sz w:val="24"/>
          <w:szCs w:val="24"/>
          <w:lang w:val="en-US"/>
        </w:rPr>
        <w:t xml:space="preserve">After the application of each separate type of cost to the model trace, the costs were discounted at a rate of 3.5% per year to account for time preference, in accordance with NICE methodological guidance (NICE, 2013). Then all costs were summed up for each cycle across both health states. The total cost across all cycles was also summed up and divided by the cohort size to obtain the mean total cost for each treatment arm. The discounted mean costs were used to calculate the incremental cost, as the cost of </w:t>
      </w:r>
      <w:r w:rsidR="77EA56D4" w:rsidRPr="30076135">
        <w:rPr>
          <w:rFonts w:ascii="Times New Roman" w:eastAsia="Times New Roman" w:hAnsi="Times New Roman" w:cs="Times New Roman"/>
          <w:sz w:val="24"/>
          <w:szCs w:val="24"/>
          <w:lang w:val="en-US"/>
        </w:rPr>
        <w:t>Cabazitaxel</w:t>
      </w:r>
      <w:r w:rsidRPr="30076135">
        <w:rPr>
          <w:rFonts w:ascii="Times New Roman" w:eastAsia="Times New Roman" w:hAnsi="Times New Roman" w:cs="Times New Roman"/>
          <w:sz w:val="24"/>
          <w:szCs w:val="24"/>
          <w:lang w:val="en-US"/>
        </w:rPr>
        <w:t xml:space="preserve"> minus the cost of </w:t>
      </w:r>
      <w:r w:rsidR="2E1C6553" w:rsidRPr="30076135">
        <w:rPr>
          <w:rFonts w:ascii="Times New Roman" w:eastAsia="Times New Roman" w:hAnsi="Times New Roman" w:cs="Times New Roman"/>
          <w:sz w:val="24"/>
          <w:szCs w:val="24"/>
          <w:lang w:val="en-US"/>
        </w:rPr>
        <w:t>Mitoxantrone</w:t>
      </w:r>
      <w:r w:rsidRPr="30076135">
        <w:rPr>
          <w:rFonts w:ascii="Times New Roman" w:eastAsia="Times New Roman" w:hAnsi="Times New Roman" w:cs="Times New Roman"/>
          <w:sz w:val="24"/>
          <w:szCs w:val="24"/>
          <w:lang w:val="en-US"/>
        </w:rPr>
        <w:t>, which was eventually used in the estimation of the ICER.</w:t>
      </w:r>
    </w:p>
    <w:p w14:paraId="509D63B4" w14:textId="1C6599B9" w:rsidR="65D96BE0" w:rsidRDefault="65D96BE0" w:rsidP="30076135">
      <w:pPr>
        <w:rPr>
          <w:rFonts w:ascii="Times New Roman" w:eastAsia="Times New Roman" w:hAnsi="Times New Roman" w:cs="Times New Roman"/>
          <w:sz w:val="24"/>
          <w:szCs w:val="24"/>
        </w:rPr>
      </w:pPr>
      <w:r w:rsidRPr="30076135">
        <w:rPr>
          <w:rFonts w:ascii="Times New Roman" w:eastAsia="Times New Roman" w:hAnsi="Times New Roman" w:cs="Times New Roman"/>
          <w:sz w:val="24"/>
          <w:szCs w:val="24"/>
        </w:rPr>
        <w:t>In addition to the ICER, the net monetary benefit (NMB) is reported as a supplementary measure of cost-effectiveness. The NMB converts costs and health benefits into a single monetary value at a given willingness-to-pay (WTP) threshold, using the formula: NMB = (WTP × ΔQALYs) − ΔCosts. A positive incremental NMB indicates that the intervention is cost-effective at the specified threshold. Results are presented at a WTP of £70,000 per QALY, in line with NICE's end-of-life criteria applicable to this patient population (NICE, 2013).</w:t>
      </w:r>
    </w:p>
    <w:p w14:paraId="35D2A72B" w14:textId="37F05621" w:rsidR="30076135" w:rsidRDefault="30076135" w:rsidP="30076135">
      <w:pPr>
        <w:spacing w:line="257" w:lineRule="auto"/>
        <w:rPr>
          <w:rFonts w:ascii="Times New Roman" w:eastAsia="Times New Roman" w:hAnsi="Times New Roman" w:cs="Times New Roman"/>
          <w:sz w:val="24"/>
          <w:szCs w:val="24"/>
          <w:lang w:val="en-US"/>
        </w:rPr>
      </w:pPr>
    </w:p>
    <w:p w14:paraId="1D979CBD" w14:textId="377086FE" w:rsidR="2EFA8758" w:rsidRPr="00E204F6" w:rsidRDefault="2EFA8758" w:rsidP="76C0B922">
      <w:pPr>
        <w:spacing w:line="257" w:lineRule="auto"/>
        <w:rPr>
          <w:rFonts w:ascii="Times New Roman" w:eastAsia="Times New Roman" w:hAnsi="Times New Roman" w:cs="Times New Roman"/>
          <w:i/>
          <w:iCs/>
          <w:lang w:val="en-US"/>
        </w:rPr>
      </w:pPr>
    </w:p>
    <w:p w14:paraId="3D82564E" w14:textId="77777777" w:rsidR="00764795" w:rsidRDefault="00764795">
      <w:pPr>
        <w:rPr>
          <w:rStyle w:val="Heading2Char"/>
          <w:rFonts w:ascii="Times New Roman" w:eastAsia="Times New Roman" w:hAnsi="Times New Roman" w:cs="Times New Roman"/>
          <w:color w:val="auto"/>
        </w:rPr>
      </w:pPr>
      <w:r w:rsidRPr="30076135">
        <w:rPr>
          <w:rStyle w:val="Heading2Char"/>
          <w:rFonts w:ascii="Times New Roman" w:eastAsia="Times New Roman" w:hAnsi="Times New Roman" w:cs="Times New Roman"/>
          <w:color w:val="auto"/>
        </w:rPr>
        <w:br w:type="page"/>
      </w:r>
    </w:p>
    <w:p w14:paraId="329F7E52" w14:textId="00905E67" w:rsidR="7410F52E" w:rsidRPr="00E204F6" w:rsidRDefault="2CF7CD93" w:rsidP="2E331EE9">
      <w:pPr>
        <w:pStyle w:val="Heading2"/>
        <w:rPr>
          <w:rStyle w:val="Heading2Char"/>
          <w:rFonts w:ascii="Times New Roman" w:eastAsia="Times New Roman" w:hAnsi="Times New Roman" w:cs="Times New Roman"/>
          <w:color w:val="auto"/>
          <w:sz w:val="28"/>
          <w:szCs w:val="28"/>
        </w:rPr>
      </w:pPr>
      <w:bookmarkStart w:id="6" w:name="_Toc533533157"/>
      <w:r w:rsidRPr="30076135">
        <w:rPr>
          <w:rStyle w:val="Heading2Char"/>
          <w:rFonts w:ascii="Times New Roman" w:eastAsia="Times New Roman" w:hAnsi="Times New Roman" w:cs="Times New Roman"/>
          <w:color w:val="auto"/>
          <w:sz w:val="28"/>
          <w:szCs w:val="28"/>
        </w:rPr>
        <w:lastRenderedPageBreak/>
        <w:t>SENSITIVITY ANALYSIS</w:t>
      </w:r>
      <w:bookmarkEnd w:id="6"/>
    </w:p>
    <w:p w14:paraId="797AE692" w14:textId="55AAFF50" w:rsidR="6F5DADB9" w:rsidRPr="00E204F6" w:rsidRDefault="37E9DF9F" w:rsidP="76C0B922">
      <w:pPr>
        <w:rPr>
          <w:rFonts w:ascii="Times New Roman" w:eastAsia="Times New Roman" w:hAnsi="Times New Roman" w:cs="Times New Roman"/>
          <w:sz w:val="24"/>
          <w:szCs w:val="24"/>
        </w:rPr>
      </w:pPr>
      <w:r w:rsidRPr="2D08A563">
        <w:rPr>
          <w:rFonts w:ascii="Times New Roman" w:eastAsia="Times New Roman" w:hAnsi="Times New Roman" w:cs="Times New Roman"/>
          <w:sz w:val="24"/>
          <w:szCs w:val="24"/>
        </w:rPr>
        <w:t xml:space="preserve">As noted above, the input parameters of the model were extracted from various sources and databases. These parameters are estimates and are therefore sensitive to uncertainty (Drummond et al., 2005). To account for this parameter uncertainty, sensitivity analyses were conducted. A sensitivity analysis consists of varying uncertain model parameters within defined plausible ranges </w:t>
      </w:r>
      <w:r w:rsidR="191200F2" w:rsidRPr="2D08A563">
        <w:rPr>
          <w:rFonts w:ascii="Times New Roman" w:eastAsia="Times New Roman" w:hAnsi="Times New Roman" w:cs="Times New Roman"/>
          <w:sz w:val="24"/>
          <w:szCs w:val="24"/>
        </w:rPr>
        <w:t>to</w:t>
      </w:r>
      <w:r w:rsidRPr="2D08A563">
        <w:rPr>
          <w:rFonts w:ascii="Times New Roman" w:eastAsia="Times New Roman" w:hAnsi="Times New Roman" w:cs="Times New Roman"/>
          <w:sz w:val="24"/>
          <w:szCs w:val="24"/>
        </w:rPr>
        <w:t xml:space="preserve"> evaluate the impact of </w:t>
      </w:r>
      <w:r w:rsidR="115A6057" w:rsidRPr="2D08A563">
        <w:rPr>
          <w:rFonts w:ascii="Times New Roman" w:eastAsia="Times New Roman" w:hAnsi="Times New Roman" w:cs="Times New Roman"/>
          <w:sz w:val="24"/>
          <w:szCs w:val="24"/>
        </w:rPr>
        <w:t xml:space="preserve">this </w:t>
      </w:r>
      <w:r w:rsidRPr="2D08A563">
        <w:rPr>
          <w:rFonts w:ascii="Times New Roman" w:eastAsia="Times New Roman" w:hAnsi="Times New Roman" w:cs="Times New Roman"/>
          <w:sz w:val="24"/>
          <w:szCs w:val="24"/>
        </w:rPr>
        <w:t xml:space="preserve">uncertainty </w:t>
      </w:r>
      <w:r w:rsidR="35C1C6BE" w:rsidRPr="2D08A563">
        <w:rPr>
          <w:rFonts w:ascii="Times New Roman" w:eastAsia="Times New Roman" w:hAnsi="Times New Roman" w:cs="Times New Roman"/>
          <w:sz w:val="24"/>
          <w:szCs w:val="24"/>
        </w:rPr>
        <w:t xml:space="preserve">on the model outcomes </w:t>
      </w:r>
      <w:r w:rsidRPr="2D08A563">
        <w:rPr>
          <w:rFonts w:ascii="Times New Roman" w:eastAsia="Times New Roman" w:hAnsi="Times New Roman" w:cs="Times New Roman"/>
          <w:sz w:val="24"/>
          <w:szCs w:val="24"/>
        </w:rPr>
        <w:t>(Drummond et al., 2005).</w:t>
      </w:r>
      <w:r w:rsidR="504A44AB" w:rsidRPr="2D08A563">
        <w:rPr>
          <w:rFonts w:ascii="Times New Roman" w:eastAsia="Times New Roman" w:hAnsi="Times New Roman" w:cs="Times New Roman"/>
          <w:sz w:val="24"/>
          <w:szCs w:val="24"/>
        </w:rPr>
        <w:t xml:space="preserve"> The standard errors, standard deviation and quantity </w:t>
      </w:r>
      <w:r w:rsidR="31D999EC" w:rsidRPr="2D08A563">
        <w:rPr>
          <w:rFonts w:ascii="Times New Roman" w:eastAsia="Times New Roman" w:hAnsi="Times New Roman" w:cs="Times New Roman"/>
          <w:sz w:val="24"/>
          <w:szCs w:val="24"/>
        </w:rPr>
        <w:t>input values we got</w:t>
      </w:r>
      <w:r w:rsidR="21C7A18F" w:rsidRPr="2D08A563">
        <w:rPr>
          <w:rFonts w:ascii="Times New Roman" w:eastAsia="Times New Roman" w:hAnsi="Times New Roman" w:cs="Times New Roman"/>
          <w:sz w:val="24"/>
          <w:szCs w:val="24"/>
        </w:rPr>
        <w:t xml:space="preserve"> for the PSA</w:t>
      </w:r>
      <w:r w:rsidR="31D999EC" w:rsidRPr="2D08A563">
        <w:rPr>
          <w:rFonts w:ascii="Times New Roman" w:eastAsia="Times New Roman" w:hAnsi="Times New Roman" w:cs="Times New Roman"/>
          <w:sz w:val="24"/>
          <w:szCs w:val="24"/>
        </w:rPr>
        <w:t xml:space="preserve"> are given in Appendix C, Table C1-</w:t>
      </w:r>
      <w:r w:rsidR="00F33BF1">
        <w:rPr>
          <w:rFonts w:ascii="Times New Roman" w:eastAsia="Times New Roman" w:hAnsi="Times New Roman" w:cs="Times New Roman"/>
          <w:sz w:val="24"/>
          <w:szCs w:val="24"/>
        </w:rPr>
        <w:t xml:space="preserve"> </w:t>
      </w:r>
      <w:r w:rsidR="31D999EC" w:rsidRPr="2D08A563">
        <w:rPr>
          <w:rFonts w:ascii="Times New Roman" w:eastAsia="Times New Roman" w:hAnsi="Times New Roman" w:cs="Times New Roman"/>
          <w:sz w:val="24"/>
          <w:szCs w:val="24"/>
        </w:rPr>
        <w:t>C3.</w:t>
      </w:r>
    </w:p>
    <w:p w14:paraId="0D7C01EE" w14:textId="60BA3028" w:rsidR="6F5DADB9" w:rsidRPr="00E204F6" w:rsidRDefault="37E9DF9F" w:rsidP="76C0B922">
      <w:pPr>
        <w:spacing w:after="0"/>
        <w:rPr>
          <w:rFonts w:ascii="Times New Roman" w:eastAsia="Times New Roman" w:hAnsi="Times New Roman" w:cs="Times New Roman"/>
          <w:i/>
          <w:iCs/>
          <w:sz w:val="24"/>
          <w:szCs w:val="24"/>
        </w:rPr>
      </w:pPr>
      <w:r w:rsidRPr="00E204F6">
        <w:rPr>
          <w:rFonts w:ascii="Times New Roman" w:eastAsia="Times New Roman" w:hAnsi="Times New Roman" w:cs="Times New Roman"/>
          <w:i/>
          <w:iCs/>
          <w:sz w:val="24"/>
          <w:szCs w:val="24"/>
        </w:rPr>
        <w:t>Probabilistic sensitivity analysis</w:t>
      </w:r>
    </w:p>
    <w:p w14:paraId="44E3CF72" w14:textId="73C7F0C8" w:rsidR="6F5DADB9" w:rsidRPr="00E204F6" w:rsidRDefault="04FD217E" w:rsidP="76C0B922">
      <w:pPr>
        <w:spacing w:after="0"/>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A probabilistic sensitivity analysis (PSA) was conducted to assess the joint uncertainty across all input parameters simultaneously. Unlike a deterministic sensitivity analysis, in which individual parameters are varied one at a time, a PSA assigns probability distributions to all uncertain parameters and varies them </w:t>
      </w:r>
      <w:r w:rsidR="6C51D29D" w:rsidRPr="00E204F6">
        <w:rPr>
          <w:rFonts w:ascii="Times New Roman" w:eastAsia="Times New Roman" w:hAnsi="Times New Roman" w:cs="Times New Roman"/>
          <w:sz w:val="24"/>
          <w:szCs w:val="24"/>
        </w:rPr>
        <w:t xml:space="preserve">simultaneously across multiple simulations </w:t>
      </w:r>
      <w:r w:rsidR="0A6B184E" w:rsidRPr="00E204F6">
        <w:rPr>
          <w:rFonts w:ascii="Times New Roman" w:eastAsia="Times New Roman" w:hAnsi="Times New Roman" w:cs="Times New Roman"/>
          <w:sz w:val="24"/>
          <w:szCs w:val="24"/>
        </w:rPr>
        <w:t xml:space="preserve">(Drummond et al., 2005). </w:t>
      </w:r>
      <w:r w:rsidR="0F7EA560" w:rsidRPr="00E204F6">
        <w:rPr>
          <w:rFonts w:ascii="Times New Roman" w:eastAsia="Times New Roman" w:hAnsi="Times New Roman" w:cs="Times New Roman"/>
          <w:sz w:val="24"/>
          <w:szCs w:val="24"/>
        </w:rPr>
        <w:t xml:space="preserve">This approach was chosen because it captures the combined effect of parameter uncertainty on the ICER and allows the probability of cost-effectiveness to be estimated at different </w:t>
      </w:r>
      <w:r w:rsidR="00E204F6">
        <w:rPr>
          <w:rFonts w:ascii="Times New Roman" w:eastAsia="Times New Roman" w:hAnsi="Times New Roman" w:cs="Times New Roman"/>
          <w:sz w:val="24"/>
          <w:szCs w:val="24"/>
        </w:rPr>
        <w:t>WTP</w:t>
      </w:r>
      <w:r w:rsidR="0F7EA560" w:rsidRPr="00E204F6">
        <w:rPr>
          <w:rFonts w:ascii="Times New Roman" w:eastAsia="Times New Roman" w:hAnsi="Times New Roman" w:cs="Times New Roman"/>
          <w:sz w:val="24"/>
          <w:szCs w:val="24"/>
        </w:rPr>
        <w:t xml:space="preserve"> thresholds.</w:t>
      </w:r>
    </w:p>
    <w:p w14:paraId="515969AA" w14:textId="21A8D3BE" w:rsidR="6F5DADB9" w:rsidRPr="00E204F6" w:rsidRDefault="6F5DADB9" w:rsidP="76C0B922">
      <w:pPr>
        <w:spacing w:after="0"/>
        <w:rPr>
          <w:rFonts w:ascii="Times New Roman" w:eastAsia="Times New Roman" w:hAnsi="Times New Roman" w:cs="Times New Roman"/>
          <w:sz w:val="24"/>
          <w:szCs w:val="24"/>
        </w:rPr>
      </w:pPr>
    </w:p>
    <w:p w14:paraId="75640049" w14:textId="4044E60A" w:rsidR="6F5DADB9" w:rsidRPr="00E204F6" w:rsidRDefault="0F7EA560" w:rsidP="76C0B922">
      <w:pPr>
        <w:spacing w:after="0"/>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The PSA conducted for our model consisted of three steps. First,</w:t>
      </w:r>
      <w:r w:rsidR="38366216" w:rsidRPr="00E204F6">
        <w:rPr>
          <w:rFonts w:ascii="Times New Roman" w:eastAsia="Times New Roman" w:hAnsi="Times New Roman" w:cs="Times New Roman"/>
          <w:sz w:val="24"/>
          <w:szCs w:val="24"/>
        </w:rPr>
        <w:t xml:space="preserve"> the probability distribution for each </w:t>
      </w:r>
      <w:r w:rsidR="1C42D13F" w:rsidRPr="00E204F6">
        <w:rPr>
          <w:rFonts w:ascii="Times New Roman" w:eastAsia="Times New Roman" w:hAnsi="Times New Roman" w:cs="Times New Roman"/>
          <w:sz w:val="24"/>
          <w:szCs w:val="24"/>
        </w:rPr>
        <w:t xml:space="preserve">uncertain parameter </w:t>
      </w:r>
      <w:r w:rsidR="38366216" w:rsidRPr="00E204F6">
        <w:rPr>
          <w:rFonts w:ascii="Times New Roman" w:eastAsia="Times New Roman" w:hAnsi="Times New Roman" w:cs="Times New Roman"/>
          <w:sz w:val="24"/>
          <w:szCs w:val="24"/>
        </w:rPr>
        <w:t xml:space="preserve">was defined. Then, a random </w:t>
      </w:r>
      <w:r w:rsidR="3E1B1A3D" w:rsidRPr="00E204F6">
        <w:rPr>
          <w:rFonts w:ascii="Times New Roman" w:eastAsia="Times New Roman" w:hAnsi="Times New Roman" w:cs="Times New Roman"/>
          <w:sz w:val="24"/>
          <w:szCs w:val="24"/>
        </w:rPr>
        <w:t xml:space="preserve">value </w:t>
      </w:r>
      <w:r w:rsidR="38366216" w:rsidRPr="00E204F6">
        <w:rPr>
          <w:rFonts w:ascii="Times New Roman" w:eastAsia="Times New Roman" w:hAnsi="Times New Roman" w:cs="Times New Roman"/>
          <w:sz w:val="24"/>
          <w:szCs w:val="24"/>
        </w:rPr>
        <w:t xml:space="preserve">was drawn for each distribution, </w:t>
      </w:r>
      <w:r w:rsidR="3FCF0CCF" w:rsidRPr="00E204F6">
        <w:rPr>
          <w:rFonts w:ascii="Times New Roman" w:eastAsia="Times New Roman" w:hAnsi="Times New Roman" w:cs="Times New Roman"/>
          <w:sz w:val="24"/>
          <w:szCs w:val="24"/>
        </w:rPr>
        <w:t xml:space="preserve">after which </w:t>
      </w:r>
      <w:r w:rsidR="38366216" w:rsidRPr="00E204F6">
        <w:rPr>
          <w:rFonts w:ascii="Times New Roman" w:eastAsia="Times New Roman" w:hAnsi="Times New Roman" w:cs="Times New Roman"/>
          <w:sz w:val="24"/>
          <w:szCs w:val="24"/>
        </w:rPr>
        <w:t xml:space="preserve">the ICER </w:t>
      </w:r>
      <w:r w:rsidR="7E5CD973" w:rsidRPr="00E204F6">
        <w:rPr>
          <w:rFonts w:ascii="Times New Roman" w:eastAsia="Times New Roman" w:hAnsi="Times New Roman" w:cs="Times New Roman"/>
          <w:sz w:val="24"/>
          <w:szCs w:val="24"/>
        </w:rPr>
        <w:t>was</w:t>
      </w:r>
      <w:r w:rsidR="38366216" w:rsidRPr="00E204F6">
        <w:rPr>
          <w:rFonts w:ascii="Times New Roman" w:eastAsia="Times New Roman" w:hAnsi="Times New Roman" w:cs="Times New Roman"/>
          <w:sz w:val="24"/>
          <w:szCs w:val="24"/>
        </w:rPr>
        <w:t xml:space="preserve"> calculated. This process was repeated 1000 times.</w:t>
      </w:r>
    </w:p>
    <w:p w14:paraId="34E8B5EB" w14:textId="3D808EAE" w:rsidR="76C0B922" w:rsidRPr="00E204F6" w:rsidRDefault="76C0B922" w:rsidP="76C0B922">
      <w:pPr>
        <w:spacing w:after="0" w:line="257" w:lineRule="auto"/>
        <w:rPr>
          <w:rFonts w:ascii="Times New Roman" w:eastAsia="Times New Roman" w:hAnsi="Times New Roman" w:cs="Times New Roman"/>
          <w:i/>
          <w:iCs/>
          <w:sz w:val="24"/>
          <w:szCs w:val="24"/>
        </w:rPr>
      </w:pPr>
    </w:p>
    <w:p w14:paraId="2EBD94A7" w14:textId="58717761" w:rsidR="6ACFF2D1" w:rsidRPr="00E204F6" w:rsidRDefault="4B34ED50" w:rsidP="76C0B922">
      <w:pPr>
        <w:spacing w:after="0" w:line="257" w:lineRule="auto"/>
        <w:rPr>
          <w:rFonts w:ascii="Times New Roman" w:eastAsia="Times New Roman" w:hAnsi="Times New Roman" w:cs="Times New Roman"/>
          <w:i/>
          <w:iCs/>
          <w:sz w:val="24"/>
          <w:szCs w:val="24"/>
        </w:rPr>
      </w:pPr>
      <w:r w:rsidRPr="00E204F6">
        <w:rPr>
          <w:rFonts w:ascii="Times New Roman" w:eastAsia="Times New Roman" w:hAnsi="Times New Roman" w:cs="Times New Roman"/>
          <w:i/>
          <w:iCs/>
          <w:sz w:val="24"/>
          <w:szCs w:val="24"/>
        </w:rPr>
        <w:t>Parameter distributions</w:t>
      </w:r>
    </w:p>
    <w:p w14:paraId="111513A0" w14:textId="5F63AEDE" w:rsidR="6ACFF2D1" w:rsidRPr="00E204F6" w:rsidRDefault="4E9FB32D" w:rsidP="76C0B922">
      <w:pPr>
        <w:spacing w:after="0"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It is important to note that not all parameters in our study were subject to uncertainty</w:t>
      </w:r>
      <w:r w:rsidR="0186FE27" w:rsidRPr="00E204F6">
        <w:rPr>
          <w:rFonts w:ascii="Times New Roman" w:eastAsia="Times New Roman" w:hAnsi="Times New Roman" w:cs="Times New Roman"/>
          <w:sz w:val="24"/>
          <w:szCs w:val="24"/>
        </w:rPr>
        <w:t>;</w:t>
      </w:r>
      <w:r w:rsidRPr="00E204F6">
        <w:rPr>
          <w:rFonts w:ascii="Times New Roman" w:eastAsia="Times New Roman" w:hAnsi="Times New Roman" w:cs="Times New Roman"/>
          <w:sz w:val="24"/>
          <w:szCs w:val="24"/>
        </w:rPr>
        <w:t xml:space="preserve"> </w:t>
      </w:r>
      <w:r w:rsidR="74B533F2" w:rsidRPr="00E204F6">
        <w:rPr>
          <w:rFonts w:ascii="Times New Roman" w:eastAsia="Times New Roman" w:hAnsi="Times New Roman" w:cs="Times New Roman"/>
          <w:sz w:val="24"/>
          <w:szCs w:val="24"/>
        </w:rPr>
        <w:t>some were</w:t>
      </w:r>
      <w:r w:rsidRPr="00E204F6">
        <w:rPr>
          <w:rFonts w:ascii="Times New Roman" w:eastAsia="Times New Roman" w:hAnsi="Times New Roman" w:cs="Times New Roman"/>
          <w:sz w:val="24"/>
          <w:szCs w:val="24"/>
        </w:rPr>
        <w:t xml:space="preserve"> </w:t>
      </w:r>
      <w:r w:rsidR="5F2ADC92" w:rsidRPr="00E204F6">
        <w:rPr>
          <w:rFonts w:ascii="Times New Roman" w:eastAsia="Times New Roman" w:hAnsi="Times New Roman" w:cs="Times New Roman"/>
          <w:sz w:val="24"/>
          <w:szCs w:val="24"/>
        </w:rPr>
        <w:t xml:space="preserve">considered </w:t>
      </w:r>
      <w:r w:rsidRPr="00E204F6">
        <w:rPr>
          <w:rFonts w:ascii="Times New Roman" w:eastAsia="Times New Roman" w:hAnsi="Times New Roman" w:cs="Times New Roman"/>
          <w:sz w:val="24"/>
          <w:szCs w:val="24"/>
        </w:rPr>
        <w:t xml:space="preserve">fixed and therefore no probability distribution was assigned. This included input parameters where the estimations </w:t>
      </w:r>
      <w:r w:rsidR="4FC060B0" w:rsidRPr="00E204F6">
        <w:rPr>
          <w:rFonts w:ascii="Times New Roman" w:eastAsia="Times New Roman" w:hAnsi="Times New Roman" w:cs="Times New Roman"/>
          <w:sz w:val="24"/>
          <w:szCs w:val="24"/>
        </w:rPr>
        <w:t>were</w:t>
      </w:r>
      <w:r w:rsidRPr="00E204F6">
        <w:rPr>
          <w:rFonts w:ascii="Times New Roman" w:eastAsia="Times New Roman" w:hAnsi="Times New Roman" w:cs="Times New Roman"/>
          <w:sz w:val="24"/>
          <w:szCs w:val="24"/>
        </w:rPr>
        <w:t xml:space="preserve"> definite, such as the dosage of a drug and scenarios where all patients receive a drug, or where the estimations were derived from policy choices, such as the annual inflation rates and discount rates (Drummond et al., 2005). </w:t>
      </w:r>
    </w:p>
    <w:p w14:paraId="5C2B8898" w14:textId="64456CF0" w:rsidR="76C0B922" w:rsidRPr="00E204F6" w:rsidRDefault="76C0B922" w:rsidP="76C0B922">
      <w:pPr>
        <w:spacing w:after="0" w:line="257" w:lineRule="auto"/>
        <w:rPr>
          <w:rFonts w:ascii="Times New Roman" w:eastAsia="Times New Roman" w:hAnsi="Times New Roman" w:cs="Times New Roman"/>
          <w:sz w:val="24"/>
          <w:szCs w:val="24"/>
        </w:rPr>
      </w:pPr>
    </w:p>
    <w:p w14:paraId="79C30062" w14:textId="75F2D317" w:rsidR="6ACFF2D1" w:rsidRPr="00E204F6" w:rsidRDefault="4E9FB32D" w:rsidP="76C0B922">
      <w:pPr>
        <w:spacing w:line="257" w:lineRule="auto"/>
        <w:rPr>
          <w:rFonts w:ascii="Times New Roman" w:eastAsia="Times New Roman" w:hAnsi="Times New Roman" w:cs="Times New Roman"/>
          <w:sz w:val="24"/>
          <w:szCs w:val="24"/>
        </w:rPr>
      </w:pPr>
      <w:r w:rsidRPr="2D08A563">
        <w:rPr>
          <w:rFonts w:ascii="Times New Roman" w:eastAsia="Times New Roman" w:hAnsi="Times New Roman" w:cs="Times New Roman"/>
          <w:sz w:val="24"/>
          <w:szCs w:val="24"/>
        </w:rPr>
        <w:t>For the remainder of the parameters, probability distributions were defined. Parameters that are constrained between 0 and 1, such as the (health state) (dis)utility values</w:t>
      </w:r>
      <w:r w:rsidR="725F8229" w:rsidRPr="2D08A563">
        <w:rPr>
          <w:rFonts w:ascii="Times New Roman" w:eastAsia="Times New Roman" w:hAnsi="Times New Roman" w:cs="Times New Roman"/>
          <w:sz w:val="24"/>
          <w:szCs w:val="24"/>
        </w:rPr>
        <w:t xml:space="preserve"> and AE incidence rates</w:t>
      </w:r>
      <w:r w:rsidRPr="2D08A563">
        <w:rPr>
          <w:rFonts w:ascii="Times New Roman" w:eastAsia="Times New Roman" w:hAnsi="Times New Roman" w:cs="Times New Roman"/>
          <w:sz w:val="24"/>
          <w:szCs w:val="24"/>
        </w:rPr>
        <w:t>, were defined under a beta distribution. Parameters that can only be positive, such as costs</w:t>
      </w:r>
      <w:r w:rsidR="497A6F4D" w:rsidRPr="2D08A563">
        <w:rPr>
          <w:rFonts w:ascii="Times New Roman" w:eastAsia="Times New Roman" w:hAnsi="Times New Roman" w:cs="Times New Roman"/>
          <w:sz w:val="24"/>
          <w:szCs w:val="24"/>
        </w:rPr>
        <w:t xml:space="preserve"> or number of days</w:t>
      </w:r>
      <w:r w:rsidRPr="2D08A563">
        <w:rPr>
          <w:rFonts w:ascii="Times New Roman" w:eastAsia="Times New Roman" w:hAnsi="Times New Roman" w:cs="Times New Roman"/>
          <w:sz w:val="24"/>
          <w:szCs w:val="24"/>
        </w:rPr>
        <w:t xml:space="preserve">, were defined under a gamma distribution. For parameters where </w:t>
      </w:r>
      <w:r w:rsidR="3BE97EDC" w:rsidRPr="2D08A563">
        <w:rPr>
          <w:rFonts w:ascii="Times New Roman" w:eastAsia="Times New Roman" w:hAnsi="Times New Roman" w:cs="Times New Roman"/>
          <w:sz w:val="24"/>
          <w:szCs w:val="24"/>
        </w:rPr>
        <w:t xml:space="preserve">multiple mutually exclusive categories must sum to 1, such as the treatment proportions for </w:t>
      </w:r>
      <w:r w:rsidR="13DF7FF7" w:rsidRPr="2D08A563">
        <w:rPr>
          <w:rFonts w:ascii="Times New Roman" w:eastAsia="Times New Roman" w:hAnsi="Times New Roman" w:cs="Times New Roman"/>
          <w:sz w:val="24"/>
          <w:szCs w:val="24"/>
        </w:rPr>
        <w:t xml:space="preserve">each </w:t>
      </w:r>
      <w:r w:rsidR="3BE97EDC" w:rsidRPr="2D08A563">
        <w:rPr>
          <w:rFonts w:ascii="Times New Roman" w:eastAsia="Times New Roman" w:hAnsi="Times New Roman" w:cs="Times New Roman"/>
          <w:sz w:val="24"/>
          <w:szCs w:val="24"/>
        </w:rPr>
        <w:t xml:space="preserve">post-second-line chemotherapy, a Dirichlet distribution was used. An overview of the </w:t>
      </w:r>
      <w:r w:rsidRPr="2D08A563">
        <w:rPr>
          <w:rFonts w:ascii="Times New Roman" w:eastAsia="Times New Roman" w:hAnsi="Times New Roman" w:cs="Times New Roman"/>
          <w:sz w:val="24"/>
          <w:szCs w:val="24"/>
        </w:rPr>
        <w:t xml:space="preserve">probability distributions has been provided in </w:t>
      </w:r>
      <w:r w:rsidR="33D796C5" w:rsidRPr="2D08A563">
        <w:rPr>
          <w:rFonts w:ascii="Times New Roman" w:eastAsia="Times New Roman" w:hAnsi="Times New Roman" w:cs="Times New Roman"/>
          <w:sz w:val="24"/>
          <w:szCs w:val="24"/>
        </w:rPr>
        <w:t>A</w:t>
      </w:r>
      <w:r w:rsidR="0E4BD8E8" w:rsidRPr="2D08A563">
        <w:rPr>
          <w:rFonts w:ascii="Times New Roman" w:eastAsia="Times New Roman" w:hAnsi="Times New Roman" w:cs="Times New Roman"/>
          <w:sz w:val="24"/>
          <w:szCs w:val="24"/>
        </w:rPr>
        <w:t xml:space="preserve">ppendix </w:t>
      </w:r>
      <w:r w:rsidR="1FCA30C7" w:rsidRPr="2D08A563">
        <w:rPr>
          <w:rFonts w:ascii="Times New Roman" w:eastAsia="Times New Roman" w:hAnsi="Times New Roman" w:cs="Times New Roman"/>
          <w:sz w:val="24"/>
          <w:szCs w:val="24"/>
        </w:rPr>
        <w:t>C</w:t>
      </w:r>
      <w:r w:rsidR="1E8FADCE" w:rsidRPr="2D08A563">
        <w:rPr>
          <w:rFonts w:ascii="Times New Roman" w:eastAsia="Times New Roman" w:hAnsi="Times New Roman" w:cs="Times New Roman"/>
          <w:sz w:val="24"/>
          <w:szCs w:val="24"/>
        </w:rPr>
        <w:t xml:space="preserve">, </w:t>
      </w:r>
      <w:r w:rsidR="3A510701" w:rsidRPr="2D08A563">
        <w:rPr>
          <w:rFonts w:ascii="Times New Roman" w:eastAsia="Times New Roman" w:hAnsi="Times New Roman" w:cs="Times New Roman"/>
          <w:sz w:val="24"/>
          <w:szCs w:val="24"/>
        </w:rPr>
        <w:t>Table</w:t>
      </w:r>
      <w:r w:rsidR="1E8FADCE" w:rsidRPr="2D08A563">
        <w:rPr>
          <w:rFonts w:ascii="Times New Roman" w:eastAsia="Times New Roman" w:hAnsi="Times New Roman" w:cs="Times New Roman"/>
          <w:sz w:val="24"/>
          <w:szCs w:val="24"/>
        </w:rPr>
        <w:t xml:space="preserve"> </w:t>
      </w:r>
      <w:r w:rsidR="3F4403F7" w:rsidRPr="2D08A563">
        <w:rPr>
          <w:rFonts w:ascii="Times New Roman" w:eastAsia="Times New Roman" w:hAnsi="Times New Roman" w:cs="Times New Roman"/>
          <w:sz w:val="24"/>
          <w:szCs w:val="24"/>
        </w:rPr>
        <w:t>C4</w:t>
      </w:r>
      <w:r w:rsidR="73334A9C" w:rsidRPr="2D08A563">
        <w:rPr>
          <w:rFonts w:ascii="Times New Roman" w:eastAsia="Times New Roman" w:hAnsi="Times New Roman" w:cs="Times New Roman"/>
          <w:sz w:val="24"/>
          <w:szCs w:val="24"/>
        </w:rPr>
        <w:t>.</w:t>
      </w:r>
      <w:r w:rsidR="497D13BD" w:rsidRPr="2D08A563">
        <w:rPr>
          <w:rFonts w:ascii="Times New Roman" w:eastAsia="Times New Roman" w:hAnsi="Times New Roman" w:cs="Times New Roman"/>
          <w:sz w:val="24"/>
          <w:szCs w:val="24"/>
        </w:rPr>
        <w:t xml:space="preserve"> </w:t>
      </w:r>
    </w:p>
    <w:p w14:paraId="06158351" w14:textId="4A151894" w:rsidR="587CBBA8" w:rsidRPr="00E204F6" w:rsidRDefault="587CBBA8" w:rsidP="76C0B922">
      <w:pPr>
        <w:spacing w:after="0"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For the survival curve parameters (intercept and scale), correlated random draws were generated using the Cholesky decomposition matrix, which was obtained from the R output </w:t>
      </w:r>
      <w:r w:rsidR="06E509C3" w:rsidRPr="00E204F6">
        <w:rPr>
          <w:rFonts w:ascii="Times New Roman" w:eastAsia="Times New Roman" w:hAnsi="Times New Roman" w:cs="Times New Roman"/>
          <w:sz w:val="24"/>
          <w:szCs w:val="24"/>
        </w:rPr>
        <w:t>of the parametric survival models. This approach preserves the co</w:t>
      </w:r>
      <w:r w:rsidR="6BCE3C67" w:rsidRPr="00E204F6">
        <w:rPr>
          <w:rFonts w:ascii="Times New Roman" w:eastAsia="Times New Roman" w:hAnsi="Times New Roman" w:cs="Times New Roman"/>
          <w:sz w:val="24"/>
          <w:szCs w:val="24"/>
        </w:rPr>
        <w:t>rrelation structure between the parameters of each survival distribution, ensuring that the extrapolated survival curves in the P</w:t>
      </w:r>
      <w:r w:rsidR="4EACFCA4" w:rsidRPr="00E204F6">
        <w:rPr>
          <w:rFonts w:ascii="Times New Roman" w:eastAsia="Times New Roman" w:hAnsi="Times New Roman" w:cs="Times New Roman"/>
          <w:sz w:val="24"/>
          <w:szCs w:val="24"/>
        </w:rPr>
        <w:t xml:space="preserve">SA remain internally consistent. </w:t>
      </w:r>
    </w:p>
    <w:p w14:paraId="6F510745" w14:textId="69E80FDB" w:rsidR="76C0B922" w:rsidRPr="00E204F6" w:rsidRDefault="76C0B922" w:rsidP="76C0B922">
      <w:pPr>
        <w:spacing w:after="0" w:line="257" w:lineRule="auto"/>
        <w:rPr>
          <w:rFonts w:ascii="Times New Roman" w:eastAsia="Times New Roman" w:hAnsi="Times New Roman" w:cs="Times New Roman"/>
          <w:i/>
          <w:iCs/>
          <w:sz w:val="24"/>
          <w:szCs w:val="24"/>
        </w:rPr>
      </w:pPr>
    </w:p>
    <w:p w14:paraId="5B081B31" w14:textId="66277EA2" w:rsidR="4633AC21" w:rsidRPr="00E204F6" w:rsidRDefault="7EA500F7" w:rsidP="76C0B922">
      <w:pPr>
        <w:spacing w:after="0" w:line="257" w:lineRule="auto"/>
        <w:rPr>
          <w:rFonts w:ascii="Times New Roman" w:eastAsia="Times New Roman" w:hAnsi="Times New Roman" w:cs="Times New Roman"/>
          <w:i/>
          <w:iCs/>
          <w:sz w:val="24"/>
          <w:szCs w:val="24"/>
        </w:rPr>
      </w:pPr>
      <w:r w:rsidRPr="00E204F6">
        <w:rPr>
          <w:rFonts w:ascii="Times New Roman" w:eastAsia="Times New Roman" w:hAnsi="Times New Roman" w:cs="Times New Roman"/>
          <w:i/>
          <w:iCs/>
          <w:sz w:val="24"/>
          <w:szCs w:val="24"/>
        </w:rPr>
        <w:t>Parameter uncertainty</w:t>
      </w:r>
    </w:p>
    <w:p w14:paraId="6D546249" w14:textId="138F6A1E" w:rsidR="4633AC21" w:rsidRPr="00E204F6" w:rsidRDefault="581FA2C7" w:rsidP="76C0B922">
      <w:pPr>
        <w:spacing w:after="0" w:line="257" w:lineRule="auto"/>
        <w:rPr>
          <w:rFonts w:ascii="Times New Roman" w:eastAsia="Times New Roman" w:hAnsi="Times New Roman" w:cs="Times New Roman"/>
          <w:sz w:val="24"/>
          <w:szCs w:val="24"/>
        </w:rPr>
      </w:pPr>
      <w:r w:rsidRPr="2D08A563">
        <w:rPr>
          <w:rFonts w:ascii="Times New Roman" w:eastAsia="Times New Roman" w:hAnsi="Times New Roman" w:cs="Times New Roman"/>
          <w:sz w:val="24"/>
          <w:szCs w:val="24"/>
        </w:rPr>
        <w:t xml:space="preserve">To estimate the parameters of the distributions, the alpha, beta and standard errors (SE), if available, were used. If only the </w:t>
      </w:r>
      <w:r w:rsidR="5DB5846C" w:rsidRPr="2D08A563">
        <w:rPr>
          <w:rFonts w:ascii="Times New Roman" w:eastAsia="Times New Roman" w:hAnsi="Times New Roman" w:cs="Times New Roman"/>
          <w:sz w:val="24"/>
          <w:szCs w:val="24"/>
        </w:rPr>
        <w:t>standard deviation (</w:t>
      </w:r>
      <w:r w:rsidRPr="2D08A563">
        <w:rPr>
          <w:rFonts w:ascii="Times New Roman" w:eastAsia="Times New Roman" w:hAnsi="Times New Roman" w:cs="Times New Roman"/>
          <w:sz w:val="24"/>
          <w:szCs w:val="24"/>
        </w:rPr>
        <w:t>SD</w:t>
      </w:r>
      <w:r w:rsidR="3735D64A" w:rsidRPr="2D08A563">
        <w:rPr>
          <w:rFonts w:ascii="Times New Roman" w:eastAsia="Times New Roman" w:hAnsi="Times New Roman" w:cs="Times New Roman"/>
          <w:sz w:val="24"/>
          <w:szCs w:val="24"/>
        </w:rPr>
        <w:t>)</w:t>
      </w:r>
      <w:r w:rsidRPr="2D08A563">
        <w:rPr>
          <w:rFonts w:ascii="Times New Roman" w:eastAsia="Times New Roman" w:hAnsi="Times New Roman" w:cs="Times New Roman"/>
          <w:sz w:val="24"/>
          <w:szCs w:val="24"/>
        </w:rPr>
        <w:t xml:space="preserve"> was available, the SE was derived </w:t>
      </w:r>
      <w:r w:rsidR="25EE4A5B" w:rsidRPr="2D08A563">
        <w:rPr>
          <w:rFonts w:ascii="Times New Roman" w:eastAsia="Times New Roman" w:hAnsi="Times New Roman" w:cs="Times New Roman"/>
          <w:sz w:val="24"/>
          <w:szCs w:val="24"/>
        </w:rPr>
        <w:t xml:space="preserve">by </w:t>
      </w:r>
      <w:r w:rsidR="25EE4A5B" w:rsidRPr="2D08A563">
        <w:rPr>
          <w:rFonts w:ascii="Times New Roman" w:eastAsia="Times New Roman" w:hAnsi="Times New Roman" w:cs="Times New Roman"/>
          <w:sz w:val="24"/>
          <w:szCs w:val="24"/>
        </w:rPr>
        <w:lastRenderedPageBreak/>
        <w:t>dividing the SD by the square root of the sample size.</w:t>
      </w:r>
      <w:r w:rsidR="0F8705A7" w:rsidRPr="2D08A563">
        <w:rPr>
          <w:rFonts w:ascii="Times New Roman" w:eastAsia="Times New Roman" w:hAnsi="Times New Roman" w:cs="Times New Roman"/>
          <w:sz w:val="24"/>
          <w:szCs w:val="24"/>
        </w:rPr>
        <w:t xml:space="preserve"> </w:t>
      </w:r>
      <w:r w:rsidRPr="2D08A563">
        <w:rPr>
          <w:rFonts w:ascii="Times New Roman" w:eastAsia="Times New Roman" w:hAnsi="Times New Roman" w:cs="Times New Roman"/>
          <w:sz w:val="24"/>
          <w:szCs w:val="24"/>
        </w:rPr>
        <w:t xml:space="preserve">If the SE for a parameter was not provided, we </w:t>
      </w:r>
      <w:r w:rsidR="257A7389" w:rsidRPr="2D08A563">
        <w:rPr>
          <w:rFonts w:ascii="Times New Roman" w:eastAsia="Times New Roman" w:hAnsi="Times New Roman" w:cs="Times New Roman"/>
          <w:sz w:val="24"/>
          <w:szCs w:val="24"/>
        </w:rPr>
        <w:t>assumed</w:t>
      </w:r>
      <w:r w:rsidR="00CC6908" w:rsidRPr="2D08A563">
        <w:rPr>
          <w:rFonts w:ascii="Times New Roman" w:eastAsia="Times New Roman" w:hAnsi="Times New Roman" w:cs="Times New Roman"/>
          <w:sz w:val="24"/>
          <w:szCs w:val="24"/>
        </w:rPr>
        <w:t xml:space="preserve"> the size of the SE </w:t>
      </w:r>
      <w:r w:rsidRPr="2D08A563">
        <w:rPr>
          <w:rFonts w:ascii="Times New Roman" w:eastAsia="Times New Roman" w:hAnsi="Times New Roman" w:cs="Times New Roman"/>
          <w:sz w:val="24"/>
          <w:szCs w:val="24"/>
        </w:rPr>
        <w:t>as a percentage of the mean.</w:t>
      </w:r>
      <w:r w:rsidR="4C15C1D7" w:rsidRPr="2D08A563">
        <w:rPr>
          <w:rFonts w:ascii="Times New Roman" w:eastAsia="Times New Roman" w:hAnsi="Times New Roman" w:cs="Times New Roman"/>
          <w:sz w:val="24"/>
          <w:szCs w:val="24"/>
        </w:rPr>
        <w:t xml:space="preserve"> </w:t>
      </w:r>
      <w:r w:rsidRPr="2D08A563">
        <w:rPr>
          <w:rFonts w:ascii="Times New Roman" w:eastAsia="Times New Roman" w:hAnsi="Times New Roman" w:cs="Times New Roman"/>
          <w:sz w:val="24"/>
          <w:szCs w:val="24"/>
        </w:rPr>
        <w:t xml:space="preserve"> </w:t>
      </w:r>
    </w:p>
    <w:p w14:paraId="14211BA7" w14:textId="629115FB" w:rsidR="76C0B922" w:rsidRPr="00E204F6" w:rsidRDefault="76C0B922" w:rsidP="76C0B922">
      <w:pPr>
        <w:spacing w:after="0" w:line="257" w:lineRule="auto"/>
        <w:rPr>
          <w:rFonts w:ascii="Times New Roman" w:eastAsia="Times New Roman" w:hAnsi="Times New Roman" w:cs="Times New Roman"/>
          <w:sz w:val="24"/>
          <w:szCs w:val="24"/>
        </w:rPr>
      </w:pPr>
    </w:p>
    <w:p w14:paraId="6DAD1D5F" w14:textId="5D5ADAE1" w:rsidR="4633AC21" w:rsidRPr="00E204F6" w:rsidRDefault="7EA500F7" w:rsidP="76C0B922">
      <w:pPr>
        <w:spacing w:line="257" w:lineRule="auto"/>
        <w:rPr>
          <w:rFonts w:ascii="Times New Roman" w:eastAsia="Times New Roman" w:hAnsi="Times New Roman" w:cs="Times New Roman"/>
          <w:sz w:val="24"/>
          <w:szCs w:val="24"/>
        </w:rPr>
      </w:pPr>
      <w:r w:rsidRPr="2D08A563">
        <w:rPr>
          <w:rFonts w:ascii="Times New Roman" w:eastAsia="Times New Roman" w:hAnsi="Times New Roman" w:cs="Times New Roman"/>
          <w:sz w:val="24"/>
          <w:szCs w:val="24"/>
        </w:rPr>
        <w:t xml:space="preserve">For clinical and utility parameters, a SE equal to 5% or 10% of the mean was assumed, depending on the expected level of uncertainty. For the parameter </w:t>
      </w:r>
      <w:r w:rsidRPr="2D08A563">
        <w:rPr>
          <w:rFonts w:ascii="Times New Roman" w:eastAsia="Times New Roman" w:hAnsi="Times New Roman" w:cs="Times New Roman"/>
          <w:i/>
          <w:iCs/>
          <w:sz w:val="24"/>
          <w:szCs w:val="24"/>
        </w:rPr>
        <w:t>“average body surface”</w:t>
      </w:r>
      <w:r w:rsidRPr="2D08A563">
        <w:rPr>
          <w:rFonts w:ascii="Times New Roman" w:eastAsia="Times New Roman" w:hAnsi="Times New Roman" w:cs="Times New Roman"/>
          <w:sz w:val="24"/>
          <w:szCs w:val="24"/>
        </w:rPr>
        <w:t>,</w:t>
      </w:r>
      <w:r w:rsidR="1A19CFD5" w:rsidRPr="2D08A563">
        <w:rPr>
          <w:rFonts w:ascii="Times New Roman" w:eastAsia="Times New Roman" w:hAnsi="Times New Roman" w:cs="Times New Roman"/>
          <w:sz w:val="24"/>
          <w:szCs w:val="24"/>
        </w:rPr>
        <w:t xml:space="preserve"> a SE of 5% of the mean was chosen</w:t>
      </w:r>
      <w:r w:rsidR="228A2DDA" w:rsidRPr="2D08A563">
        <w:rPr>
          <w:rFonts w:ascii="Times New Roman" w:eastAsia="Times New Roman" w:hAnsi="Times New Roman" w:cs="Times New Roman"/>
          <w:sz w:val="24"/>
          <w:szCs w:val="24"/>
        </w:rPr>
        <w:t>,</w:t>
      </w:r>
      <w:r w:rsidR="1A19CFD5" w:rsidRPr="2D08A563">
        <w:rPr>
          <w:rFonts w:ascii="Times New Roman" w:eastAsia="Times New Roman" w:hAnsi="Times New Roman" w:cs="Times New Roman"/>
          <w:sz w:val="24"/>
          <w:szCs w:val="24"/>
        </w:rPr>
        <w:t xml:space="preserve"> because the estimation is based on the TROPIC trial where the population consisted of men who were mostly above the age of 65. We assumed that there is limited variation in the characteristics of the patient group and therefore less uncertainty. For the parameter </w:t>
      </w:r>
      <w:r w:rsidR="1A19CFD5" w:rsidRPr="2D08A563">
        <w:rPr>
          <w:rFonts w:ascii="Times New Roman" w:eastAsia="Times New Roman" w:hAnsi="Times New Roman" w:cs="Times New Roman"/>
          <w:i/>
          <w:iCs/>
          <w:sz w:val="24"/>
          <w:szCs w:val="24"/>
        </w:rPr>
        <w:t>"average duration of adverse events"</w:t>
      </w:r>
      <w:r w:rsidR="1A19CFD5" w:rsidRPr="2D08A563">
        <w:rPr>
          <w:rFonts w:ascii="Times New Roman" w:eastAsia="Times New Roman" w:hAnsi="Times New Roman" w:cs="Times New Roman"/>
          <w:sz w:val="24"/>
          <w:szCs w:val="24"/>
        </w:rPr>
        <w:t xml:space="preserve"> however, we used a SE of 10% of the mean, as the duration of adverse events is dependent on the individual and therefore more uncertain.</w:t>
      </w:r>
    </w:p>
    <w:p w14:paraId="1CBA68FF" w14:textId="38BBCD95" w:rsidR="4633AC21" w:rsidRPr="00E204F6" w:rsidRDefault="01D7826F" w:rsidP="76C0B922">
      <w:pPr>
        <w:spacing w:line="257" w:lineRule="auto"/>
        <w:rPr>
          <w:rFonts w:ascii="Times New Roman" w:eastAsia="Times New Roman" w:hAnsi="Times New Roman" w:cs="Times New Roman"/>
          <w:color w:val="FF0000"/>
          <w:sz w:val="24"/>
          <w:szCs w:val="24"/>
        </w:rPr>
      </w:pPr>
      <w:r w:rsidRPr="2D08A563">
        <w:rPr>
          <w:rFonts w:ascii="Times New Roman" w:eastAsia="Times New Roman" w:hAnsi="Times New Roman" w:cs="Times New Roman"/>
          <w:sz w:val="24"/>
          <w:szCs w:val="24"/>
        </w:rPr>
        <w:t xml:space="preserve">For cost inputs, the SE assumption </w:t>
      </w:r>
      <w:r w:rsidR="36715826" w:rsidRPr="2D08A563">
        <w:rPr>
          <w:rFonts w:ascii="Times New Roman" w:eastAsia="Times New Roman" w:hAnsi="Times New Roman" w:cs="Times New Roman"/>
          <w:sz w:val="24"/>
          <w:szCs w:val="24"/>
        </w:rPr>
        <w:t>depend</w:t>
      </w:r>
      <w:r w:rsidR="7D58DAFB" w:rsidRPr="2D08A563">
        <w:rPr>
          <w:rFonts w:ascii="Times New Roman" w:eastAsia="Times New Roman" w:hAnsi="Times New Roman" w:cs="Times New Roman"/>
          <w:sz w:val="24"/>
          <w:szCs w:val="24"/>
        </w:rPr>
        <w:t>s</w:t>
      </w:r>
      <w:r w:rsidRPr="2D08A563">
        <w:rPr>
          <w:rFonts w:ascii="Times New Roman" w:eastAsia="Times New Roman" w:hAnsi="Times New Roman" w:cs="Times New Roman"/>
          <w:sz w:val="24"/>
          <w:szCs w:val="24"/>
        </w:rPr>
        <w:t xml:space="preserve"> on the complexity of the cost, where we used a SE with a </w:t>
      </w:r>
      <w:r w:rsidR="0BD18734" w:rsidRPr="2D08A563">
        <w:rPr>
          <w:rFonts w:ascii="Times New Roman" w:eastAsia="Times New Roman" w:hAnsi="Times New Roman" w:cs="Times New Roman"/>
          <w:sz w:val="24"/>
          <w:szCs w:val="24"/>
        </w:rPr>
        <w:t>rang</w:t>
      </w:r>
      <w:r w:rsidR="3A704653" w:rsidRPr="2D08A563">
        <w:rPr>
          <w:rFonts w:ascii="Times New Roman" w:eastAsia="Times New Roman" w:hAnsi="Times New Roman" w:cs="Times New Roman"/>
          <w:sz w:val="24"/>
          <w:szCs w:val="24"/>
        </w:rPr>
        <w:t>e</w:t>
      </w:r>
      <w:r w:rsidR="0BD18734" w:rsidRPr="2D08A563">
        <w:rPr>
          <w:rFonts w:ascii="Times New Roman" w:eastAsia="Times New Roman" w:hAnsi="Times New Roman" w:cs="Times New Roman"/>
          <w:sz w:val="24"/>
          <w:szCs w:val="24"/>
        </w:rPr>
        <w:t xml:space="preserve"> from 1</w:t>
      </w:r>
      <w:r w:rsidRPr="2D08A563">
        <w:rPr>
          <w:rFonts w:ascii="Times New Roman" w:eastAsia="Times New Roman" w:hAnsi="Times New Roman" w:cs="Times New Roman"/>
          <w:sz w:val="24"/>
          <w:szCs w:val="24"/>
        </w:rPr>
        <w:t xml:space="preserve">0%-20% of the mean. </w:t>
      </w:r>
      <w:r w:rsidR="786DF752" w:rsidRPr="2D08A563">
        <w:rPr>
          <w:rFonts w:ascii="Times New Roman" w:eastAsia="Times New Roman" w:hAnsi="Times New Roman" w:cs="Times New Roman"/>
          <w:sz w:val="24"/>
          <w:szCs w:val="24"/>
        </w:rPr>
        <w:t>For example, a SE of 10%</w:t>
      </w:r>
      <w:r w:rsidRPr="2D08A563">
        <w:rPr>
          <w:rFonts w:ascii="Times New Roman" w:eastAsia="Times New Roman" w:hAnsi="Times New Roman" w:cs="Times New Roman"/>
          <w:sz w:val="24"/>
          <w:szCs w:val="24"/>
        </w:rPr>
        <w:t xml:space="preserve"> of the mean for simple unit costs, such as the unit costs of Docetaxel and Carboplatin-based regimens,</w:t>
      </w:r>
      <w:r w:rsidR="6A40283D" w:rsidRPr="2D08A563">
        <w:rPr>
          <w:rFonts w:ascii="Times New Roman" w:eastAsia="Times New Roman" w:hAnsi="Times New Roman" w:cs="Times New Roman"/>
          <w:sz w:val="24"/>
          <w:szCs w:val="24"/>
        </w:rPr>
        <w:t xml:space="preserve"> was considered sufficient because these are not aggregated costs and therefore carry less uncertainty. </w:t>
      </w:r>
      <w:r w:rsidRPr="2D08A563">
        <w:rPr>
          <w:rFonts w:ascii="Times New Roman" w:eastAsia="Times New Roman" w:hAnsi="Times New Roman" w:cs="Times New Roman"/>
          <w:sz w:val="24"/>
          <w:szCs w:val="24"/>
        </w:rPr>
        <w:t xml:space="preserve">However, for most of the other cost parameters, </w:t>
      </w:r>
      <w:r w:rsidR="4139E3A7" w:rsidRPr="2D08A563">
        <w:rPr>
          <w:rFonts w:ascii="Times New Roman" w:eastAsia="Times New Roman" w:hAnsi="Times New Roman" w:cs="Times New Roman"/>
          <w:sz w:val="24"/>
          <w:szCs w:val="24"/>
        </w:rPr>
        <w:t>which were</w:t>
      </w:r>
      <w:r w:rsidRPr="2D08A563">
        <w:rPr>
          <w:rFonts w:ascii="Times New Roman" w:eastAsia="Times New Roman" w:hAnsi="Times New Roman" w:cs="Times New Roman"/>
          <w:sz w:val="24"/>
          <w:szCs w:val="24"/>
        </w:rPr>
        <w:t xml:space="preserve"> extracted from databases that use aggregated values, e.g. National Cost Collection, we applied a SE of 20% of the mean, as these parameters </w:t>
      </w:r>
      <w:r w:rsidR="4BBC0D57" w:rsidRPr="2D08A563">
        <w:rPr>
          <w:rFonts w:ascii="Times New Roman" w:eastAsia="Times New Roman" w:hAnsi="Times New Roman" w:cs="Times New Roman"/>
          <w:sz w:val="24"/>
          <w:szCs w:val="24"/>
        </w:rPr>
        <w:t xml:space="preserve">are </w:t>
      </w:r>
      <w:r w:rsidRPr="2D08A563">
        <w:rPr>
          <w:rFonts w:ascii="Times New Roman" w:eastAsia="Times New Roman" w:hAnsi="Times New Roman" w:cs="Times New Roman"/>
          <w:sz w:val="24"/>
          <w:szCs w:val="24"/>
        </w:rPr>
        <w:t xml:space="preserve">more uncertain. </w:t>
      </w:r>
      <w:r w:rsidR="7135C392" w:rsidRPr="2D08A563">
        <w:rPr>
          <w:rFonts w:ascii="Times New Roman" w:eastAsia="Times New Roman" w:hAnsi="Times New Roman" w:cs="Times New Roman"/>
          <w:sz w:val="24"/>
          <w:szCs w:val="24"/>
        </w:rPr>
        <w:t xml:space="preserve">An overview of the assumed SEs </w:t>
      </w:r>
      <w:r w:rsidR="06A7EF9B" w:rsidRPr="2D08A563">
        <w:rPr>
          <w:rFonts w:ascii="Times New Roman" w:eastAsia="Times New Roman" w:hAnsi="Times New Roman" w:cs="Times New Roman"/>
          <w:sz w:val="24"/>
          <w:szCs w:val="24"/>
        </w:rPr>
        <w:t>is</w:t>
      </w:r>
      <w:r w:rsidR="7135C392" w:rsidRPr="2D08A563">
        <w:rPr>
          <w:rFonts w:ascii="Times New Roman" w:eastAsia="Times New Roman" w:hAnsi="Times New Roman" w:cs="Times New Roman"/>
          <w:sz w:val="24"/>
          <w:szCs w:val="24"/>
        </w:rPr>
        <w:t xml:space="preserve"> provided in </w:t>
      </w:r>
      <w:r w:rsidR="1F562912" w:rsidRPr="2D08A563">
        <w:rPr>
          <w:rFonts w:ascii="Times New Roman" w:eastAsia="Times New Roman" w:hAnsi="Times New Roman" w:cs="Times New Roman"/>
          <w:sz w:val="24"/>
          <w:szCs w:val="24"/>
        </w:rPr>
        <w:t>A</w:t>
      </w:r>
      <w:r w:rsidR="04C72BC6" w:rsidRPr="2D08A563">
        <w:rPr>
          <w:rFonts w:ascii="Times New Roman" w:eastAsia="Times New Roman" w:hAnsi="Times New Roman" w:cs="Times New Roman"/>
          <w:sz w:val="24"/>
          <w:szCs w:val="24"/>
        </w:rPr>
        <w:t xml:space="preserve">ppendix </w:t>
      </w:r>
      <w:r w:rsidR="3C1ED6A5" w:rsidRPr="2D08A563">
        <w:rPr>
          <w:rFonts w:ascii="Times New Roman" w:eastAsia="Times New Roman" w:hAnsi="Times New Roman" w:cs="Times New Roman"/>
          <w:sz w:val="24"/>
          <w:szCs w:val="24"/>
        </w:rPr>
        <w:t>C</w:t>
      </w:r>
      <w:r w:rsidR="1F3BA114" w:rsidRPr="2D08A563">
        <w:rPr>
          <w:rFonts w:ascii="Times New Roman" w:eastAsia="Times New Roman" w:hAnsi="Times New Roman" w:cs="Times New Roman"/>
          <w:sz w:val="24"/>
          <w:szCs w:val="24"/>
        </w:rPr>
        <w:t xml:space="preserve">, </w:t>
      </w:r>
      <w:r w:rsidR="3A510701" w:rsidRPr="2D08A563">
        <w:rPr>
          <w:rFonts w:ascii="Times New Roman" w:eastAsia="Times New Roman" w:hAnsi="Times New Roman" w:cs="Times New Roman"/>
          <w:sz w:val="24"/>
          <w:szCs w:val="24"/>
        </w:rPr>
        <w:t>Table</w:t>
      </w:r>
      <w:r w:rsidR="1F3BA114" w:rsidRPr="2D08A563">
        <w:rPr>
          <w:rFonts w:ascii="Times New Roman" w:eastAsia="Times New Roman" w:hAnsi="Times New Roman" w:cs="Times New Roman"/>
          <w:sz w:val="24"/>
          <w:szCs w:val="24"/>
        </w:rPr>
        <w:t xml:space="preserve"> </w:t>
      </w:r>
      <w:r w:rsidR="34C4DCE5" w:rsidRPr="2D08A563">
        <w:rPr>
          <w:rFonts w:ascii="Times New Roman" w:eastAsia="Times New Roman" w:hAnsi="Times New Roman" w:cs="Times New Roman"/>
          <w:sz w:val="24"/>
          <w:szCs w:val="24"/>
        </w:rPr>
        <w:t>C</w:t>
      </w:r>
      <w:r w:rsidR="4371BA27" w:rsidRPr="2D08A563">
        <w:rPr>
          <w:rFonts w:ascii="Times New Roman" w:eastAsia="Times New Roman" w:hAnsi="Times New Roman" w:cs="Times New Roman"/>
          <w:sz w:val="24"/>
          <w:szCs w:val="24"/>
        </w:rPr>
        <w:t>5</w:t>
      </w:r>
      <w:r w:rsidR="1F3BA114" w:rsidRPr="2D08A563">
        <w:rPr>
          <w:rFonts w:ascii="Times New Roman" w:eastAsia="Times New Roman" w:hAnsi="Times New Roman" w:cs="Times New Roman"/>
          <w:sz w:val="24"/>
          <w:szCs w:val="24"/>
        </w:rPr>
        <w:t>.</w:t>
      </w:r>
    </w:p>
    <w:p w14:paraId="34364486" w14:textId="4FC887BE" w:rsidR="4633AC21" w:rsidRPr="00E204F6" w:rsidRDefault="01D7826F" w:rsidP="76C0B922">
      <w:pPr>
        <w:spacing w:line="257" w:lineRule="auto"/>
        <w:rPr>
          <w:rFonts w:ascii="Times New Roman" w:eastAsia="Times New Roman" w:hAnsi="Times New Roman" w:cs="Times New Roman"/>
          <w:sz w:val="24"/>
          <w:szCs w:val="24"/>
        </w:rPr>
      </w:pPr>
      <w:r w:rsidRPr="2D08A563">
        <w:rPr>
          <w:rFonts w:ascii="Times New Roman" w:eastAsia="Times New Roman" w:hAnsi="Times New Roman" w:cs="Times New Roman"/>
          <w:sz w:val="24"/>
          <w:szCs w:val="24"/>
        </w:rPr>
        <w:t xml:space="preserve">Furthermore, where possible, the alpha and beta were calculated using the TROPIC trial data or </w:t>
      </w:r>
      <w:r w:rsidR="5AA85954" w:rsidRPr="2D08A563">
        <w:rPr>
          <w:rFonts w:ascii="Times New Roman" w:eastAsia="Times New Roman" w:hAnsi="Times New Roman" w:cs="Times New Roman"/>
          <w:sz w:val="24"/>
          <w:szCs w:val="24"/>
        </w:rPr>
        <w:t xml:space="preserve">method of moments formulae. </w:t>
      </w:r>
      <w:r w:rsidRPr="2D08A563">
        <w:rPr>
          <w:rFonts w:ascii="Times New Roman" w:eastAsia="Times New Roman" w:hAnsi="Times New Roman" w:cs="Times New Roman"/>
          <w:sz w:val="24"/>
          <w:szCs w:val="24"/>
        </w:rPr>
        <w:t xml:space="preserve">The latter </w:t>
      </w:r>
      <w:r w:rsidR="09819CE3" w:rsidRPr="2D08A563">
        <w:rPr>
          <w:rFonts w:ascii="Times New Roman" w:eastAsia="Times New Roman" w:hAnsi="Times New Roman" w:cs="Times New Roman"/>
          <w:sz w:val="24"/>
          <w:szCs w:val="24"/>
        </w:rPr>
        <w:t xml:space="preserve">have </w:t>
      </w:r>
      <w:r w:rsidRPr="2D08A563">
        <w:rPr>
          <w:rFonts w:ascii="Times New Roman" w:eastAsia="Times New Roman" w:hAnsi="Times New Roman" w:cs="Times New Roman"/>
          <w:sz w:val="24"/>
          <w:szCs w:val="24"/>
        </w:rPr>
        <w:t xml:space="preserve">been provided in </w:t>
      </w:r>
      <w:r w:rsidR="1E0C202F" w:rsidRPr="2D08A563">
        <w:rPr>
          <w:rFonts w:ascii="Times New Roman" w:eastAsia="Times New Roman" w:hAnsi="Times New Roman" w:cs="Times New Roman"/>
          <w:sz w:val="24"/>
          <w:szCs w:val="24"/>
        </w:rPr>
        <w:t>A</w:t>
      </w:r>
      <w:r w:rsidR="70F06F5A" w:rsidRPr="2D08A563">
        <w:rPr>
          <w:rFonts w:ascii="Times New Roman" w:eastAsia="Times New Roman" w:hAnsi="Times New Roman" w:cs="Times New Roman"/>
          <w:sz w:val="24"/>
          <w:szCs w:val="24"/>
        </w:rPr>
        <w:t>ppendix</w:t>
      </w:r>
      <w:r w:rsidR="60FF187B" w:rsidRPr="2D08A563">
        <w:rPr>
          <w:rFonts w:ascii="Times New Roman" w:eastAsia="Times New Roman" w:hAnsi="Times New Roman" w:cs="Times New Roman"/>
          <w:sz w:val="24"/>
          <w:szCs w:val="24"/>
        </w:rPr>
        <w:t xml:space="preserve"> </w:t>
      </w:r>
      <w:r w:rsidR="2F742849" w:rsidRPr="2D08A563">
        <w:rPr>
          <w:rFonts w:ascii="Times New Roman" w:eastAsia="Times New Roman" w:hAnsi="Times New Roman" w:cs="Times New Roman"/>
          <w:sz w:val="24"/>
          <w:szCs w:val="24"/>
        </w:rPr>
        <w:t>C</w:t>
      </w:r>
      <w:r w:rsidR="60FF187B" w:rsidRPr="2D08A563">
        <w:rPr>
          <w:rFonts w:ascii="Times New Roman" w:eastAsia="Times New Roman" w:hAnsi="Times New Roman" w:cs="Times New Roman"/>
          <w:sz w:val="24"/>
          <w:szCs w:val="24"/>
        </w:rPr>
        <w:t xml:space="preserve">, </w:t>
      </w:r>
      <w:r w:rsidR="3A510701" w:rsidRPr="2D08A563">
        <w:rPr>
          <w:rFonts w:ascii="Times New Roman" w:eastAsia="Times New Roman" w:hAnsi="Times New Roman" w:cs="Times New Roman"/>
          <w:sz w:val="24"/>
          <w:szCs w:val="24"/>
        </w:rPr>
        <w:t>Table</w:t>
      </w:r>
      <w:r w:rsidR="60FF187B" w:rsidRPr="2D08A563">
        <w:rPr>
          <w:rFonts w:ascii="Times New Roman" w:eastAsia="Times New Roman" w:hAnsi="Times New Roman" w:cs="Times New Roman"/>
          <w:sz w:val="24"/>
          <w:szCs w:val="24"/>
        </w:rPr>
        <w:t xml:space="preserve"> </w:t>
      </w:r>
      <w:r w:rsidR="1E22E988" w:rsidRPr="2D08A563">
        <w:rPr>
          <w:rFonts w:ascii="Times New Roman" w:eastAsia="Times New Roman" w:hAnsi="Times New Roman" w:cs="Times New Roman"/>
          <w:sz w:val="24"/>
          <w:szCs w:val="24"/>
        </w:rPr>
        <w:t>C</w:t>
      </w:r>
      <w:r w:rsidR="27EBC5A9" w:rsidRPr="2D08A563">
        <w:rPr>
          <w:rFonts w:ascii="Times New Roman" w:eastAsia="Times New Roman" w:hAnsi="Times New Roman" w:cs="Times New Roman"/>
          <w:sz w:val="24"/>
          <w:szCs w:val="24"/>
        </w:rPr>
        <w:t>6</w:t>
      </w:r>
      <w:r w:rsidRPr="2D08A563">
        <w:rPr>
          <w:rFonts w:ascii="Times New Roman" w:eastAsia="Times New Roman" w:hAnsi="Times New Roman" w:cs="Times New Roman"/>
          <w:sz w:val="24"/>
          <w:szCs w:val="24"/>
        </w:rPr>
        <w:t xml:space="preserve">. </w:t>
      </w:r>
    </w:p>
    <w:p w14:paraId="763352A5" w14:textId="55B751CC" w:rsidR="4633AC21" w:rsidRPr="00E204F6" w:rsidRDefault="7EA500F7"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If the alpha and beta of a parameter </w:t>
      </w:r>
      <w:r w:rsidR="1C376B11" w:rsidRPr="00E204F6">
        <w:rPr>
          <w:rFonts w:ascii="Times New Roman" w:eastAsia="Times New Roman" w:hAnsi="Times New Roman" w:cs="Times New Roman"/>
          <w:sz w:val="24"/>
          <w:szCs w:val="24"/>
        </w:rPr>
        <w:t xml:space="preserve">were available from the source data or </w:t>
      </w:r>
      <w:r w:rsidRPr="00E204F6">
        <w:rPr>
          <w:rFonts w:ascii="Times New Roman" w:eastAsia="Times New Roman" w:hAnsi="Times New Roman" w:cs="Times New Roman"/>
          <w:sz w:val="24"/>
          <w:szCs w:val="24"/>
        </w:rPr>
        <w:t xml:space="preserve">successfully calculated, there was no need to </w:t>
      </w:r>
      <w:r w:rsidR="386F61FE" w:rsidRPr="00E204F6">
        <w:rPr>
          <w:rFonts w:ascii="Times New Roman" w:eastAsia="Times New Roman" w:hAnsi="Times New Roman" w:cs="Times New Roman"/>
          <w:sz w:val="24"/>
          <w:szCs w:val="24"/>
        </w:rPr>
        <w:t xml:space="preserve">assume a SE for </w:t>
      </w:r>
      <w:r w:rsidRPr="00E204F6">
        <w:rPr>
          <w:rFonts w:ascii="Times New Roman" w:eastAsia="Times New Roman" w:hAnsi="Times New Roman" w:cs="Times New Roman"/>
          <w:sz w:val="24"/>
          <w:szCs w:val="24"/>
        </w:rPr>
        <w:t>said parameter.</w:t>
      </w:r>
    </w:p>
    <w:p w14:paraId="0E990C50" w14:textId="36D467B3" w:rsidR="4633AC21" w:rsidRPr="00E204F6" w:rsidRDefault="01D7826F" w:rsidP="2D08A563">
      <w:pPr>
        <w:spacing w:line="257" w:lineRule="auto"/>
        <w:rPr>
          <w:rFonts w:ascii="Times New Roman" w:eastAsia="Times New Roman" w:hAnsi="Times New Roman" w:cs="Times New Roman"/>
          <w:sz w:val="24"/>
          <w:szCs w:val="24"/>
        </w:rPr>
      </w:pPr>
      <w:r w:rsidRPr="2D08A563">
        <w:rPr>
          <w:rFonts w:ascii="Times New Roman" w:eastAsia="Times New Roman" w:hAnsi="Times New Roman" w:cs="Times New Roman"/>
          <w:sz w:val="24"/>
          <w:szCs w:val="24"/>
        </w:rPr>
        <w:t xml:space="preserve">After all the probability distributions were defined for the uncertain parameters, </w:t>
      </w:r>
      <w:r w:rsidR="143E0C85" w:rsidRPr="2D08A563">
        <w:rPr>
          <w:rFonts w:ascii="Times New Roman" w:eastAsia="Times New Roman" w:hAnsi="Times New Roman" w:cs="Times New Roman"/>
          <w:sz w:val="24"/>
          <w:szCs w:val="24"/>
        </w:rPr>
        <w:t>the PSA values</w:t>
      </w:r>
      <w:r w:rsidRPr="2D08A563">
        <w:rPr>
          <w:rFonts w:ascii="Times New Roman" w:eastAsia="Times New Roman" w:hAnsi="Times New Roman" w:cs="Times New Roman"/>
          <w:sz w:val="24"/>
          <w:szCs w:val="24"/>
        </w:rPr>
        <w:t xml:space="preserve"> were drawn in Excel, using the formulae provided in </w:t>
      </w:r>
      <w:r w:rsidR="0AC2804B" w:rsidRPr="2D08A563">
        <w:rPr>
          <w:rFonts w:ascii="Times New Roman" w:eastAsia="Times New Roman" w:hAnsi="Times New Roman" w:cs="Times New Roman"/>
          <w:sz w:val="24"/>
          <w:szCs w:val="24"/>
        </w:rPr>
        <w:t>A</w:t>
      </w:r>
      <w:r w:rsidR="2CD8AC83" w:rsidRPr="2D08A563">
        <w:rPr>
          <w:rFonts w:ascii="Times New Roman" w:eastAsia="Times New Roman" w:hAnsi="Times New Roman" w:cs="Times New Roman"/>
          <w:sz w:val="24"/>
          <w:szCs w:val="24"/>
        </w:rPr>
        <w:t>ppendix</w:t>
      </w:r>
      <w:r w:rsidR="7C9F383B" w:rsidRPr="2D08A563">
        <w:rPr>
          <w:rFonts w:ascii="Times New Roman" w:eastAsia="Times New Roman" w:hAnsi="Times New Roman" w:cs="Times New Roman"/>
          <w:sz w:val="24"/>
          <w:szCs w:val="24"/>
        </w:rPr>
        <w:t xml:space="preserve"> </w:t>
      </w:r>
      <w:r w:rsidR="5DB93858" w:rsidRPr="2D08A563">
        <w:rPr>
          <w:rFonts w:ascii="Times New Roman" w:eastAsia="Times New Roman" w:hAnsi="Times New Roman" w:cs="Times New Roman"/>
          <w:sz w:val="24"/>
          <w:szCs w:val="24"/>
        </w:rPr>
        <w:t>C</w:t>
      </w:r>
      <w:r w:rsidR="7C9F383B" w:rsidRPr="2D08A563">
        <w:rPr>
          <w:rFonts w:ascii="Times New Roman" w:eastAsia="Times New Roman" w:hAnsi="Times New Roman" w:cs="Times New Roman"/>
          <w:sz w:val="24"/>
          <w:szCs w:val="24"/>
        </w:rPr>
        <w:t xml:space="preserve">, </w:t>
      </w:r>
      <w:r w:rsidR="3A510701" w:rsidRPr="2D08A563">
        <w:rPr>
          <w:rFonts w:ascii="Times New Roman" w:eastAsia="Times New Roman" w:hAnsi="Times New Roman" w:cs="Times New Roman"/>
          <w:sz w:val="24"/>
          <w:szCs w:val="24"/>
        </w:rPr>
        <w:t>Table</w:t>
      </w:r>
      <w:r w:rsidR="7C9F383B" w:rsidRPr="2D08A563">
        <w:rPr>
          <w:rFonts w:ascii="Times New Roman" w:eastAsia="Times New Roman" w:hAnsi="Times New Roman" w:cs="Times New Roman"/>
          <w:sz w:val="24"/>
          <w:szCs w:val="24"/>
        </w:rPr>
        <w:t xml:space="preserve"> </w:t>
      </w:r>
      <w:r w:rsidR="7FE16619" w:rsidRPr="2D08A563">
        <w:rPr>
          <w:rFonts w:ascii="Times New Roman" w:eastAsia="Times New Roman" w:hAnsi="Times New Roman" w:cs="Times New Roman"/>
          <w:sz w:val="24"/>
          <w:szCs w:val="24"/>
        </w:rPr>
        <w:t>C</w:t>
      </w:r>
      <w:r w:rsidR="61C86512" w:rsidRPr="2D08A563">
        <w:rPr>
          <w:rFonts w:ascii="Times New Roman" w:eastAsia="Times New Roman" w:hAnsi="Times New Roman" w:cs="Times New Roman"/>
          <w:sz w:val="24"/>
          <w:szCs w:val="24"/>
        </w:rPr>
        <w:t>6</w:t>
      </w:r>
      <w:r w:rsidRPr="2D08A563">
        <w:rPr>
          <w:rFonts w:ascii="Times New Roman" w:eastAsia="Times New Roman" w:hAnsi="Times New Roman" w:cs="Times New Roman"/>
          <w:sz w:val="24"/>
          <w:szCs w:val="24"/>
        </w:rPr>
        <w:t xml:space="preserve">. </w:t>
      </w:r>
      <w:r w:rsidR="65739FE1" w:rsidRPr="2D08A563">
        <w:rPr>
          <w:rFonts w:ascii="Times New Roman" w:eastAsia="Times New Roman" w:hAnsi="Times New Roman" w:cs="Times New Roman"/>
          <w:sz w:val="24"/>
          <w:szCs w:val="24"/>
        </w:rPr>
        <w:t xml:space="preserve">A </w:t>
      </w:r>
      <w:r w:rsidR="69AF6F17" w:rsidRPr="2D08A563">
        <w:rPr>
          <w:rFonts w:ascii="Times New Roman" w:eastAsia="Times New Roman" w:hAnsi="Times New Roman" w:cs="Times New Roman"/>
          <w:sz w:val="24"/>
          <w:szCs w:val="24"/>
        </w:rPr>
        <w:t>m</w:t>
      </w:r>
      <w:r w:rsidRPr="2D08A563">
        <w:rPr>
          <w:rFonts w:ascii="Times New Roman" w:eastAsia="Times New Roman" w:hAnsi="Times New Roman" w:cs="Times New Roman"/>
          <w:sz w:val="24"/>
          <w:szCs w:val="24"/>
        </w:rPr>
        <w:t>acro</w:t>
      </w:r>
      <w:r w:rsidR="1845D91A" w:rsidRPr="2D08A563">
        <w:rPr>
          <w:rFonts w:ascii="Times New Roman" w:eastAsia="Times New Roman" w:hAnsi="Times New Roman" w:cs="Times New Roman"/>
          <w:color w:val="002328"/>
          <w:sz w:val="24"/>
          <w:szCs w:val="24"/>
          <w:lang w:val="en-US"/>
        </w:rPr>
        <w:t xml:space="preserve"> </w:t>
      </w:r>
      <w:r w:rsidR="2C9105EB" w:rsidRPr="2D08A563">
        <w:rPr>
          <w:rFonts w:ascii="Times New Roman" w:eastAsia="Times New Roman" w:hAnsi="Times New Roman" w:cs="Times New Roman"/>
          <w:color w:val="002328"/>
          <w:sz w:val="24"/>
          <w:szCs w:val="24"/>
          <w:lang w:val="en-US"/>
        </w:rPr>
        <w:t xml:space="preserve">in </w:t>
      </w:r>
      <w:r w:rsidR="1845D91A" w:rsidRPr="2D08A563">
        <w:rPr>
          <w:rFonts w:ascii="Times New Roman" w:eastAsia="Times New Roman" w:hAnsi="Times New Roman" w:cs="Times New Roman"/>
          <w:color w:val="002328"/>
          <w:sz w:val="24"/>
          <w:szCs w:val="24"/>
          <w:lang w:val="en-US"/>
        </w:rPr>
        <w:t>Visual Basic for Applications (VBA)</w:t>
      </w:r>
      <w:r w:rsidRPr="2D08A563">
        <w:rPr>
          <w:rFonts w:ascii="Times New Roman" w:eastAsia="Times New Roman" w:hAnsi="Times New Roman" w:cs="Times New Roman"/>
          <w:sz w:val="24"/>
          <w:szCs w:val="24"/>
        </w:rPr>
        <w:t xml:space="preserve"> </w:t>
      </w:r>
      <w:r w:rsidR="7924FCD2" w:rsidRPr="2D08A563">
        <w:rPr>
          <w:rFonts w:ascii="Times New Roman" w:eastAsia="Times New Roman" w:hAnsi="Times New Roman" w:cs="Times New Roman"/>
          <w:sz w:val="24"/>
          <w:szCs w:val="24"/>
        </w:rPr>
        <w:t xml:space="preserve">was </w:t>
      </w:r>
      <w:r w:rsidRPr="2D08A563">
        <w:rPr>
          <w:rFonts w:ascii="Times New Roman" w:eastAsia="Times New Roman" w:hAnsi="Times New Roman" w:cs="Times New Roman"/>
          <w:sz w:val="24"/>
          <w:szCs w:val="24"/>
        </w:rPr>
        <w:t>used to perform the</w:t>
      </w:r>
      <w:r w:rsidR="1D56E330" w:rsidRPr="2D08A563">
        <w:rPr>
          <w:rFonts w:ascii="Times New Roman" w:eastAsia="Times New Roman" w:hAnsi="Times New Roman" w:cs="Times New Roman"/>
          <w:sz w:val="24"/>
          <w:szCs w:val="24"/>
        </w:rPr>
        <w:t xml:space="preserve"> 1,000</w:t>
      </w:r>
      <w:r w:rsidRPr="2D08A563">
        <w:rPr>
          <w:rFonts w:ascii="Times New Roman" w:eastAsia="Times New Roman" w:hAnsi="Times New Roman" w:cs="Times New Roman"/>
          <w:sz w:val="24"/>
          <w:szCs w:val="24"/>
        </w:rPr>
        <w:t xml:space="preserve"> simulations</w:t>
      </w:r>
      <w:r w:rsidR="3F326DFA" w:rsidRPr="2D08A563">
        <w:rPr>
          <w:rFonts w:ascii="Times New Roman" w:eastAsia="Times New Roman" w:hAnsi="Times New Roman" w:cs="Times New Roman"/>
          <w:sz w:val="24"/>
          <w:szCs w:val="24"/>
        </w:rPr>
        <w:t xml:space="preserve">, generating the probabilistic ICER, </w:t>
      </w:r>
      <w:r w:rsidRPr="2D08A563">
        <w:rPr>
          <w:rFonts w:ascii="Times New Roman" w:eastAsia="Times New Roman" w:hAnsi="Times New Roman" w:cs="Times New Roman"/>
          <w:sz w:val="24"/>
          <w:szCs w:val="24"/>
        </w:rPr>
        <w:t xml:space="preserve">a </w:t>
      </w:r>
      <w:r w:rsidR="7EC4F4E0" w:rsidRPr="2D08A563">
        <w:rPr>
          <w:rFonts w:ascii="Times New Roman" w:eastAsia="Times New Roman" w:hAnsi="Times New Roman" w:cs="Times New Roman"/>
          <w:sz w:val="24"/>
          <w:szCs w:val="24"/>
        </w:rPr>
        <w:t>cost-effectiveness plane (C</w:t>
      </w:r>
      <w:r w:rsidRPr="2D08A563">
        <w:rPr>
          <w:rFonts w:ascii="Times New Roman" w:eastAsia="Times New Roman" w:hAnsi="Times New Roman" w:cs="Times New Roman"/>
          <w:sz w:val="24"/>
          <w:szCs w:val="24"/>
        </w:rPr>
        <w:t>E-plane</w:t>
      </w:r>
      <w:r w:rsidR="0ED0F43D" w:rsidRPr="2D08A563">
        <w:rPr>
          <w:rFonts w:ascii="Times New Roman" w:eastAsia="Times New Roman" w:hAnsi="Times New Roman" w:cs="Times New Roman"/>
          <w:sz w:val="24"/>
          <w:szCs w:val="24"/>
        </w:rPr>
        <w:t xml:space="preserve">) and </w:t>
      </w:r>
      <w:r w:rsidR="7909149A" w:rsidRPr="2D08A563">
        <w:rPr>
          <w:rFonts w:ascii="Times New Roman" w:eastAsia="Times New Roman" w:hAnsi="Times New Roman" w:cs="Times New Roman"/>
          <w:sz w:val="24"/>
          <w:szCs w:val="24"/>
        </w:rPr>
        <w:t xml:space="preserve">a </w:t>
      </w:r>
      <w:r w:rsidR="0ED0F43D" w:rsidRPr="2D08A563">
        <w:rPr>
          <w:rFonts w:ascii="Times New Roman" w:eastAsia="Times New Roman" w:hAnsi="Times New Roman" w:cs="Times New Roman"/>
          <w:sz w:val="24"/>
          <w:szCs w:val="24"/>
        </w:rPr>
        <w:t>cost-effectiveness acceptability curve (</w:t>
      </w:r>
      <w:r w:rsidRPr="2D08A563">
        <w:rPr>
          <w:rFonts w:ascii="Times New Roman" w:eastAsia="Times New Roman" w:hAnsi="Times New Roman" w:cs="Times New Roman"/>
          <w:sz w:val="24"/>
          <w:szCs w:val="24"/>
        </w:rPr>
        <w:t>CEAC</w:t>
      </w:r>
      <w:r w:rsidR="5DBA2F5A" w:rsidRPr="2D08A563">
        <w:rPr>
          <w:rFonts w:ascii="Times New Roman" w:eastAsia="Times New Roman" w:hAnsi="Times New Roman" w:cs="Times New Roman"/>
          <w:sz w:val="24"/>
          <w:szCs w:val="24"/>
        </w:rPr>
        <w:t>)</w:t>
      </w:r>
      <w:r w:rsidRPr="2D08A563">
        <w:rPr>
          <w:rFonts w:ascii="Times New Roman" w:eastAsia="Times New Roman" w:hAnsi="Times New Roman" w:cs="Times New Roman"/>
          <w:sz w:val="24"/>
          <w:szCs w:val="24"/>
        </w:rPr>
        <w:t>.</w:t>
      </w:r>
    </w:p>
    <w:p w14:paraId="7CA206E8" w14:textId="32EFC1F6" w:rsidR="2E331EE9" w:rsidRDefault="2E331EE9" w:rsidP="2E331EE9">
      <w:pPr>
        <w:spacing w:line="257" w:lineRule="auto"/>
        <w:rPr>
          <w:rFonts w:ascii="Times New Roman" w:eastAsia="Times New Roman" w:hAnsi="Times New Roman" w:cs="Times New Roman"/>
          <w:sz w:val="24"/>
          <w:szCs w:val="24"/>
        </w:rPr>
      </w:pPr>
    </w:p>
    <w:p w14:paraId="1B1A86EE" w14:textId="50CAFF4D" w:rsidR="32CBF3CA" w:rsidRPr="00E204F6" w:rsidRDefault="729C46CB"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Scenario analyses</w:t>
      </w:r>
    </w:p>
    <w:p w14:paraId="1A122CF5" w14:textId="35E41B4F" w:rsidR="59581E39" w:rsidRPr="00E204F6" w:rsidRDefault="59581E39"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In addition to the PSA, several scenario analyses were performed to assess the sensitivity of the model results to key structural and parameter assumptions.</w:t>
      </w:r>
    </w:p>
    <w:p w14:paraId="4D11EAD8" w14:textId="35F6873A" w:rsidR="32CBF3CA" w:rsidRPr="00E204F6" w:rsidRDefault="3014A9A7" w:rsidP="76C0B922">
      <w:pPr>
        <w:spacing w:after="0" w:line="257" w:lineRule="auto"/>
        <w:rPr>
          <w:rFonts w:ascii="Times New Roman" w:eastAsia="Times New Roman" w:hAnsi="Times New Roman" w:cs="Times New Roman"/>
          <w:i/>
          <w:iCs/>
          <w:sz w:val="24"/>
          <w:szCs w:val="24"/>
        </w:rPr>
      </w:pPr>
      <w:r w:rsidRPr="00E204F6">
        <w:rPr>
          <w:rFonts w:ascii="Times New Roman" w:eastAsia="Times New Roman" w:hAnsi="Times New Roman" w:cs="Times New Roman"/>
          <w:i/>
          <w:iCs/>
          <w:sz w:val="24"/>
          <w:szCs w:val="24"/>
        </w:rPr>
        <w:t xml:space="preserve">Survival </w:t>
      </w:r>
      <w:r w:rsidR="3926BB14" w:rsidRPr="00E204F6">
        <w:rPr>
          <w:rFonts w:ascii="Times New Roman" w:eastAsia="Times New Roman" w:hAnsi="Times New Roman" w:cs="Times New Roman"/>
          <w:i/>
          <w:iCs/>
          <w:sz w:val="24"/>
          <w:szCs w:val="24"/>
        </w:rPr>
        <w:t>distribution scenarios</w:t>
      </w:r>
    </w:p>
    <w:p w14:paraId="79E0E5C8" w14:textId="1ADA4A8B" w:rsidR="6FB1C763" w:rsidRPr="00E204F6" w:rsidRDefault="560FFDDD" w:rsidP="76C0B922">
      <w:pPr>
        <w:spacing w:after="0" w:line="257" w:lineRule="auto"/>
        <w:rPr>
          <w:rFonts w:ascii="Times New Roman" w:eastAsia="Times New Roman" w:hAnsi="Times New Roman" w:cs="Times New Roman"/>
          <w:sz w:val="24"/>
          <w:szCs w:val="24"/>
        </w:rPr>
      </w:pPr>
      <w:r w:rsidRPr="2D08A563">
        <w:rPr>
          <w:rFonts w:ascii="Times New Roman" w:eastAsia="Times New Roman" w:hAnsi="Times New Roman" w:cs="Times New Roman"/>
          <w:sz w:val="24"/>
          <w:szCs w:val="24"/>
        </w:rPr>
        <w:t xml:space="preserve">The choice of parametric distribution for the survival curves is one of the most influential assumptions in the model, as it directly </w:t>
      </w:r>
      <w:r w:rsidR="0AF3DD21" w:rsidRPr="2D08A563">
        <w:rPr>
          <w:rFonts w:ascii="Times New Roman" w:eastAsia="Times New Roman" w:hAnsi="Times New Roman" w:cs="Times New Roman"/>
          <w:sz w:val="24"/>
          <w:szCs w:val="24"/>
        </w:rPr>
        <w:t>affects</w:t>
      </w:r>
      <w:r w:rsidRPr="2D08A563">
        <w:rPr>
          <w:rFonts w:ascii="Times New Roman" w:eastAsia="Times New Roman" w:hAnsi="Times New Roman" w:cs="Times New Roman"/>
          <w:sz w:val="24"/>
          <w:szCs w:val="24"/>
        </w:rPr>
        <w:t xml:space="preserve"> the extrapolate</w:t>
      </w:r>
      <w:r w:rsidR="083B776F" w:rsidRPr="2D08A563">
        <w:rPr>
          <w:rFonts w:ascii="Times New Roman" w:eastAsia="Times New Roman" w:hAnsi="Times New Roman" w:cs="Times New Roman"/>
          <w:sz w:val="24"/>
          <w:szCs w:val="24"/>
        </w:rPr>
        <w:t>d</w:t>
      </w:r>
      <w:r w:rsidRPr="2D08A563">
        <w:rPr>
          <w:rFonts w:ascii="Times New Roman" w:eastAsia="Times New Roman" w:hAnsi="Times New Roman" w:cs="Times New Roman"/>
          <w:sz w:val="24"/>
          <w:szCs w:val="24"/>
        </w:rPr>
        <w:t xml:space="preserve"> OS and PFS</w:t>
      </w:r>
      <w:r w:rsidR="6334D735" w:rsidRPr="2D08A563">
        <w:rPr>
          <w:rFonts w:ascii="Times New Roman" w:eastAsia="Times New Roman" w:hAnsi="Times New Roman" w:cs="Times New Roman"/>
          <w:sz w:val="24"/>
          <w:szCs w:val="24"/>
        </w:rPr>
        <w:t>,</w:t>
      </w:r>
      <w:r w:rsidRPr="2D08A563">
        <w:rPr>
          <w:rFonts w:ascii="Times New Roman" w:eastAsia="Times New Roman" w:hAnsi="Times New Roman" w:cs="Times New Roman"/>
          <w:sz w:val="24"/>
          <w:szCs w:val="24"/>
        </w:rPr>
        <w:t xml:space="preserve"> and therefore the time spent in each health state. To test the impact of this choice, we repeated the analy</w:t>
      </w:r>
      <w:r w:rsidR="0F3C4DBB" w:rsidRPr="2D08A563">
        <w:rPr>
          <w:rFonts w:ascii="Times New Roman" w:eastAsia="Times New Roman" w:hAnsi="Times New Roman" w:cs="Times New Roman"/>
          <w:sz w:val="24"/>
          <w:szCs w:val="24"/>
        </w:rPr>
        <w:t xml:space="preserve">sis using an exponential distribution for both OS and PFS. The exponential distribution was selected for this scenario because it had the highest AIC score (i.e. the worst statistical fit) for both treatment arms in OS and for </w:t>
      </w:r>
      <w:r w:rsidR="2E1C6553" w:rsidRPr="2D08A563">
        <w:rPr>
          <w:rFonts w:ascii="Times New Roman" w:eastAsia="Times New Roman" w:hAnsi="Times New Roman" w:cs="Times New Roman"/>
          <w:sz w:val="24"/>
          <w:szCs w:val="24"/>
        </w:rPr>
        <w:t>Mitoxantrone</w:t>
      </w:r>
      <w:r w:rsidR="0F3C4DBB" w:rsidRPr="2D08A563">
        <w:rPr>
          <w:rFonts w:ascii="Times New Roman" w:eastAsia="Times New Roman" w:hAnsi="Times New Roman" w:cs="Times New Roman"/>
          <w:sz w:val="24"/>
          <w:szCs w:val="24"/>
        </w:rPr>
        <w:t xml:space="preserve"> in PFS (see </w:t>
      </w:r>
      <w:r w:rsidR="3A510701" w:rsidRPr="2D08A563">
        <w:rPr>
          <w:rFonts w:ascii="Times New Roman" w:eastAsia="Times New Roman" w:hAnsi="Times New Roman" w:cs="Times New Roman"/>
          <w:sz w:val="24"/>
          <w:szCs w:val="24"/>
        </w:rPr>
        <w:t>Table</w:t>
      </w:r>
      <w:r w:rsidR="0F3C4DBB" w:rsidRPr="2D08A563">
        <w:rPr>
          <w:rFonts w:ascii="Times New Roman" w:eastAsia="Times New Roman" w:hAnsi="Times New Roman" w:cs="Times New Roman"/>
          <w:sz w:val="24"/>
          <w:szCs w:val="24"/>
        </w:rPr>
        <w:t xml:space="preserve"> </w:t>
      </w:r>
      <w:r w:rsidR="747D6158" w:rsidRPr="2D08A563">
        <w:rPr>
          <w:rFonts w:ascii="Times New Roman" w:eastAsia="Times New Roman" w:hAnsi="Times New Roman" w:cs="Times New Roman"/>
          <w:sz w:val="24"/>
          <w:szCs w:val="24"/>
        </w:rPr>
        <w:t>1</w:t>
      </w:r>
      <w:r w:rsidR="0F3C4DBB" w:rsidRPr="2D08A563">
        <w:rPr>
          <w:rFonts w:ascii="Times New Roman" w:eastAsia="Times New Roman" w:hAnsi="Times New Roman" w:cs="Times New Roman"/>
          <w:sz w:val="24"/>
          <w:szCs w:val="24"/>
        </w:rPr>
        <w:t xml:space="preserve">), and </w:t>
      </w:r>
      <w:r w:rsidR="15F2AC3A" w:rsidRPr="2D08A563">
        <w:rPr>
          <w:rFonts w:ascii="Times New Roman" w:eastAsia="Times New Roman" w:hAnsi="Times New Roman" w:cs="Times New Roman"/>
          <w:sz w:val="24"/>
          <w:szCs w:val="24"/>
        </w:rPr>
        <w:t xml:space="preserve">it </w:t>
      </w:r>
      <w:r w:rsidR="0F3C4DBB" w:rsidRPr="2D08A563">
        <w:rPr>
          <w:rFonts w:ascii="Times New Roman" w:eastAsia="Times New Roman" w:hAnsi="Times New Roman" w:cs="Times New Roman"/>
          <w:sz w:val="24"/>
          <w:szCs w:val="24"/>
        </w:rPr>
        <w:t>also showe</w:t>
      </w:r>
      <w:r w:rsidR="6E19165A" w:rsidRPr="2D08A563">
        <w:rPr>
          <w:rFonts w:ascii="Times New Roman" w:eastAsia="Times New Roman" w:hAnsi="Times New Roman" w:cs="Times New Roman"/>
          <w:sz w:val="24"/>
          <w:szCs w:val="24"/>
        </w:rPr>
        <w:t>d the poorest visual fit to the KM data (see Appendix A). Using the worst-fitting distribution provides a stress test of the base-case results, as it represents the most extreme alternative extrapolation.</w:t>
      </w:r>
    </w:p>
    <w:p w14:paraId="459EA337" w14:textId="614E996E" w:rsidR="6FB1C763" w:rsidRPr="00E204F6" w:rsidRDefault="6FB1C763" w:rsidP="76C0B922">
      <w:pPr>
        <w:spacing w:after="0" w:line="257" w:lineRule="auto"/>
        <w:rPr>
          <w:rFonts w:ascii="Times New Roman" w:eastAsia="Times New Roman" w:hAnsi="Times New Roman" w:cs="Times New Roman"/>
          <w:sz w:val="24"/>
          <w:szCs w:val="24"/>
        </w:rPr>
      </w:pPr>
    </w:p>
    <w:p w14:paraId="1042D459" w14:textId="4C35D3B7" w:rsidR="6FB1C763" w:rsidRPr="00E204F6" w:rsidRDefault="28437EF7" w:rsidP="76C0B922">
      <w:pPr>
        <w:spacing w:after="0" w:line="257" w:lineRule="auto"/>
        <w:rPr>
          <w:rFonts w:ascii="Times New Roman" w:eastAsia="Times New Roman" w:hAnsi="Times New Roman" w:cs="Times New Roman"/>
          <w:i/>
          <w:iCs/>
          <w:sz w:val="24"/>
          <w:szCs w:val="24"/>
        </w:rPr>
      </w:pPr>
      <w:r w:rsidRPr="00E204F6">
        <w:rPr>
          <w:rFonts w:ascii="Times New Roman" w:eastAsia="Times New Roman" w:hAnsi="Times New Roman" w:cs="Times New Roman"/>
          <w:i/>
          <w:iCs/>
          <w:sz w:val="24"/>
          <w:szCs w:val="24"/>
        </w:rPr>
        <w:lastRenderedPageBreak/>
        <w:t>Vial sharing sc</w:t>
      </w:r>
      <w:r w:rsidR="59C3EA8F" w:rsidRPr="00E204F6">
        <w:rPr>
          <w:rFonts w:ascii="Times New Roman" w:eastAsia="Times New Roman" w:hAnsi="Times New Roman" w:cs="Times New Roman"/>
          <w:i/>
          <w:iCs/>
          <w:sz w:val="24"/>
          <w:szCs w:val="24"/>
        </w:rPr>
        <w:t>en</w:t>
      </w:r>
      <w:r w:rsidRPr="00E204F6">
        <w:rPr>
          <w:rFonts w:ascii="Times New Roman" w:eastAsia="Times New Roman" w:hAnsi="Times New Roman" w:cs="Times New Roman"/>
          <w:i/>
          <w:iCs/>
          <w:sz w:val="24"/>
          <w:szCs w:val="24"/>
        </w:rPr>
        <w:t>ario</w:t>
      </w:r>
    </w:p>
    <w:p w14:paraId="25A25BFC" w14:textId="1C7C0EDA" w:rsidR="6FB1C763" w:rsidRPr="00E204F6" w:rsidRDefault="28437EF7" w:rsidP="76C0B922">
      <w:pPr>
        <w:spacing w:after="0"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In the base case, it was assumed that vials are not shared between patients, meaning that any unused portion of a vial is wasted. To test the impact of this assumption, a scenario was run in which vial sharing was allowed, removing the wastage costs for drug acquisition in both </w:t>
      </w:r>
      <w:r w:rsidR="243EE365" w:rsidRPr="00E204F6">
        <w:rPr>
          <w:rFonts w:ascii="Times New Roman" w:eastAsia="Times New Roman" w:hAnsi="Times New Roman" w:cs="Times New Roman"/>
          <w:sz w:val="24"/>
          <w:szCs w:val="24"/>
        </w:rPr>
        <w:t>SD</w:t>
      </w:r>
      <w:r w:rsidRPr="00E204F6">
        <w:rPr>
          <w:rFonts w:ascii="Times New Roman" w:eastAsia="Times New Roman" w:hAnsi="Times New Roman" w:cs="Times New Roman"/>
          <w:sz w:val="24"/>
          <w:szCs w:val="24"/>
        </w:rPr>
        <w:t xml:space="preserve"> and </w:t>
      </w:r>
      <w:r w:rsidR="7D34B84B" w:rsidRPr="00E204F6">
        <w:rPr>
          <w:rFonts w:ascii="Times New Roman" w:eastAsia="Times New Roman" w:hAnsi="Times New Roman" w:cs="Times New Roman"/>
          <w:sz w:val="24"/>
          <w:szCs w:val="24"/>
        </w:rPr>
        <w:t>PD</w:t>
      </w:r>
      <w:r w:rsidRPr="00E204F6">
        <w:rPr>
          <w:rFonts w:ascii="Times New Roman" w:eastAsia="Times New Roman" w:hAnsi="Times New Roman" w:cs="Times New Roman"/>
          <w:sz w:val="24"/>
          <w:szCs w:val="24"/>
        </w:rPr>
        <w:t>.</w:t>
      </w:r>
    </w:p>
    <w:p w14:paraId="62DDB12B" w14:textId="0010C3E6" w:rsidR="6FB1C763" w:rsidRPr="00E204F6" w:rsidRDefault="6FB1C763" w:rsidP="76C0B922">
      <w:pPr>
        <w:spacing w:after="0" w:line="257" w:lineRule="auto"/>
        <w:rPr>
          <w:rFonts w:ascii="Times New Roman" w:eastAsia="Times New Roman" w:hAnsi="Times New Roman" w:cs="Times New Roman"/>
          <w:sz w:val="24"/>
          <w:szCs w:val="24"/>
        </w:rPr>
      </w:pPr>
    </w:p>
    <w:p w14:paraId="41A7F496" w14:textId="268AFCB0" w:rsidR="6FB1C763" w:rsidRPr="00E204F6" w:rsidRDefault="28437EF7" w:rsidP="76C0B922">
      <w:pPr>
        <w:spacing w:after="0" w:line="257" w:lineRule="auto"/>
        <w:rPr>
          <w:rFonts w:ascii="Times New Roman" w:eastAsia="Times New Roman" w:hAnsi="Times New Roman" w:cs="Times New Roman"/>
          <w:i/>
          <w:iCs/>
          <w:sz w:val="24"/>
          <w:szCs w:val="24"/>
        </w:rPr>
      </w:pPr>
      <w:r w:rsidRPr="00E204F6">
        <w:rPr>
          <w:rFonts w:ascii="Times New Roman" w:eastAsia="Times New Roman" w:hAnsi="Times New Roman" w:cs="Times New Roman"/>
          <w:i/>
          <w:iCs/>
          <w:sz w:val="24"/>
          <w:szCs w:val="24"/>
        </w:rPr>
        <w:t>Standard error assumption scenarios</w:t>
      </w:r>
    </w:p>
    <w:p w14:paraId="43BBFECC" w14:textId="1A38D170" w:rsidR="6FB1C763" w:rsidRPr="00E204F6" w:rsidRDefault="28437EF7" w:rsidP="76C0B922">
      <w:pPr>
        <w:spacing w:after="0"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The SE for several parameters was assumed as a percentage of the mean (ranging from 5% to 20%), as described in the PSA section. To assess how these assumptions affect the uncertainty around the ICER, two additional scenarios were run. In the first scenario, the maximum SE percentages were applied to all parameters (i.e. </w:t>
      </w:r>
      <w:r w:rsidR="4E769BFC" w:rsidRPr="00E204F6">
        <w:rPr>
          <w:rFonts w:ascii="Times New Roman" w:eastAsia="Times New Roman" w:hAnsi="Times New Roman" w:cs="Times New Roman"/>
          <w:sz w:val="24"/>
          <w:szCs w:val="24"/>
        </w:rPr>
        <w:t>20% for all cost parameters and 10% for all others). In the second scenario, the minimum SE percentages were applied (i.e. 10% for all cost parameters and 5% for all others). For each scenario, the PSA was re-run with 1,000 simulations.</w:t>
      </w:r>
    </w:p>
    <w:p w14:paraId="0190C85A" w14:textId="1C35895C" w:rsidR="6FB1C763" w:rsidRPr="00E204F6" w:rsidRDefault="6FB1C763" w:rsidP="76C0B922">
      <w:pPr>
        <w:spacing w:after="0" w:line="257" w:lineRule="auto"/>
        <w:rPr>
          <w:rFonts w:ascii="Times New Roman" w:eastAsia="Times New Roman" w:hAnsi="Times New Roman" w:cs="Times New Roman"/>
          <w:i/>
          <w:iCs/>
          <w:sz w:val="24"/>
          <w:szCs w:val="24"/>
        </w:rPr>
      </w:pPr>
    </w:p>
    <w:p w14:paraId="2A5E1511" w14:textId="08E1E028" w:rsidR="6FB1C763" w:rsidRPr="00E204F6" w:rsidRDefault="6FB1C763" w:rsidP="76C0B922">
      <w:pPr>
        <w:spacing w:after="0" w:line="257" w:lineRule="auto"/>
        <w:rPr>
          <w:rFonts w:ascii="Times New Roman" w:eastAsia="Times New Roman" w:hAnsi="Times New Roman" w:cs="Times New Roman"/>
          <w:i/>
          <w:iCs/>
          <w:sz w:val="24"/>
          <w:szCs w:val="24"/>
        </w:rPr>
      </w:pPr>
    </w:p>
    <w:p w14:paraId="0FDAF1BD" w14:textId="68807623" w:rsidR="6FB1C763" w:rsidRPr="00E204F6" w:rsidRDefault="6FB1C763" w:rsidP="6FB1C763">
      <w:pPr>
        <w:spacing w:line="257" w:lineRule="auto"/>
        <w:rPr>
          <w:rFonts w:ascii="Times New Roman" w:eastAsia="Times New Roman" w:hAnsi="Times New Roman" w:cs="Times New Roman"/>
          <w:b/>
          <w:bCs/>
          <w:i/>
          <w:iCs/>
          <w:color w:val="FF0000"/>
          <w:sz w:val="24"/>
          <w:szCs w:val="24"/>
        </w:rPr>
      </w:pPr>
    </w:p>
    <w:p w14:paraId="4459A783" w14:textId="59BA7D75" w:rsidR="6FB1C763" w:rsidRPr="00E204F6" w:rsidRDefault="6FB1C763" w:rsidP="6FB1C763">
      <w:pPr>
        <w:spacing w:line="257" w:lineRule="auto"/>
        <w:rPr>
          <w:rFonts w:ascii="Times New Roman" w:eastAsia="Times New Roman" w:hAnsi="Times New Roman" w:cs="Times New Roman"/>
          <w:b/>
          <w:bCs/>
          <w:i/>
          <w:iCs/>
          <w:color w:val="FF0000"/>
          <w:sz w:val="24"/>
          <w:szCs w:val="24"/>
        </w:rPr>
      </w:pPr>
    </w:p>
    <w:p w14:paraId="23B778EA" w14:textId="3983EF68" w:rsidR="6FB1C763" w:rsidRPr="00E204F6" w:rsidRDefault="6FB1C763" w:rsidP="6FB1C763">
      <w:pPr>
        <w:spacing w:line="257" w:lineRule="auto"/>
        <w:rPr>
          <w:rFonts w:ascii="Times New Roman" w:eastAsia="Times New Roman" w:hAnsi="Times New Roman" w:cs="Times New Roman"/>
          <w:b/>
          <w:bCs/>
          <w:i/>
          <w:iCs/>
          <w:color w:val="FF0000"/>
          <w:sz w:val="24"/>
          <w:szCs w:val="24"/>
        </w:rPr>
      </w:pPr>
    </w:p>
    <w:p w14:paraId="738D5213" w14:textId="2CD87C54" w:rsidR="6FB1C763" w:rsidRPr="00E204F6" w:rsidRDefault="6FB1C763" w:rsidP="6FB1C763">
      <w:pPr>
        <w:spacing w:line="257" w:lineRule="auto"/>
        <w:rPr>
          <w:rFonts w:ascii="Times New Roman" w:eastAsia="Times New Roman" w:hAnsi="Times New Roman" w:cs="Times New Roman"/>
          <w:b/>
          <w:bCs/>
          <w:i/>
          <w:iCs/>
          <w:color w:val="FF0000"/>
          <w:sz w:val="24"/>
          <w:szCs w:val="24"/>
        </w:rPr>
      </w:pPr>
    </w:p>
    <w:p w14:paraId="05072EF6" w14:textId="6F60B448" w:rsidR="6FB1C763" w:rsidRPr="00E204F6" w:rsidRDefault="6FB1C763" w:rsidP="6FB1C763">
      <w:pPr>
        <w:spacing w:line="257" w:lineRule="auto"/>
        <w:rPr>
          <w:rFonts w:ascii="Times New Roman" w:eastAsia="Times New Roman" w:hAnsi="Times New Roman" w:cs="Times New Roman"/>
          <w:b/>
          <w:bCs/>
          <w:i/>
          <w:iCs/>
          <w:color w:val="FF0000"/>
          <w:sz w:val="24"/>
          <w:szCs w:val="24"/>
        </w:rPr>
      </w:pPr>
    </w:p>
    <w:p w14:paraId="34498B8C" w14:textId="3007D360" w:rsidR="6FB1C763" w:rsidRPr="00E204F6" w:rsidRDefault="6FB1C763" w:rsidP="6FB1C763">
      <w:pPr>
        <w:spacing w:line="257" w:lineRule="auto"/>
        <w:rPr>
          <w:rFonts w:ascii="Times New Roman" w:eastAsia="Times New Roman" w:hAnsi="Times New Roman" w:cs="Times New Roman"/>
          <w:b/>
          <w:bCs/>
          <w:i/>
          <w:iCs/>
          <w:color w:val="FF0000"/>
          <w:sz w:val="24"/>
          <w:szCs w:val="24"/>
        </w:rPr>
      </w:pPr>
    </w:p>
    <w:p w14:paraId="3009BD09" w14:textId="4980E6D3" w:rsidR="6FB1C763" w:rsidRPr="00E204F6" w:rsidRDefault="6FB1C763" w:rsidP="6FB1C763">
      <w:pPr>
        <w:spacing w:line="257" w:lineRule="auto"/>
        <w:rPr>
          <w:rFonts w:ascii="Times New Roman" w:eastAsia="Times New Roman" w:hAnsi="Times New Roman" w:cs="Times New Roman"/>
          <w:b/>
          <w:bCs/>
          <w:i/>
          <w:iCs/>
          <w:color w:val="FF0000"/>
          <w:sz w:val="24"/>
          <w:szCs w:val="24"/>
        </w:rPr>
      </w:pPr>
    </w:p>
    <w:p w14:paraId="54B1D4FA" w14:textId="77777777" w:rsidR="00764795" w:rsidRDefault="00764795">
      <w:pPr>
        <w:rPr>
          <w:rFonts w:ascii="Times New Roman" w:eastAsia="Times New Roman" w:hAnsi="Times New Roman" w:cs="Times New Roman"/>
          <w:sz w:val="32"/>
          <w:szCs w:val="32"/>
        </w:rPr>
      </w:pPr>
      <w:r w:rsidRPr="30076135">
        <w:rPr>
          <w:rFonts w:ascii="Times New Roman" w:eastAsia="Times New Roman" w:hAnsi="Times New Roman" w:cs="Times New Roman"/>
          <w:sz w:val="32"/>
          <w:szCs w:val="32"/>
        </w:rPr>
        <w:br w:type="page"/>
      </w:r>
    </w:p>
    <w:p w14:paraId="07A24BA1" w14:textId="737E7094" w:rsidR="6FB1C763" w:rsidRPr="00E204F6" w:rsidRDefault="55CC6EA7" w:rsidP="76C0B922">
      <w:pPr>
        <w:pStyle w:val="Heading1"/>
        <w:jc w:val="center"/>
        <w:rPr>
          <w:rFonts w:ascii="Times New Roman" w:eastAsia="Times New Roman" w:hAnsi="Times New Roman" w:cs="Times New Roman"/>
          <w:color w:val="auto"/>
          <w:sz w:val="32"/>
          <w:szCs w:val="32"/>
        </w:rPr>
      </w:pPr>
      <w:bookmarkStart w:id="7" w:name="_Toc1537210556"/>
      <w:r w:rsidRPr="30076135">
        <w:rPr>
          <w:rFonts w:ascii="Times New Roman" w:eastAsia="Times New Roman" w:hAnsi="Times New Roman" w:cs="Times New Roman"/>
          <w:color w:val="auto"/>
          <w:sz w:val="32"/>
          <w:szCs w:val="32"/>
        </w:rPr>
        <w:lastRenderedPageBreak/>
        <w:t>RESULTS</w:t>
      </w:r>
      <w:bookmarkEnd w:id="7"/>
      <w:r w:rsidR="6AEE573D" w:rsidRPr="30076135">
        <w:rPr>
          <w:rFonts w:ascii="Times New Roman" w:eastAsia="Times New Roman" w:hAnsi="Times New Roman" w:cs="Times New Roman"/>
          <w:color w:val="auto"/>
          <w:sz w:val="32"/>
          <w:szCs w:val="32"/>
        </w:rPr>
        <w:t xml:space="preserve"> </w:t>
      </w:r>
    </w:p>
    <w:p w14:paraId="44825508" w14:textId="05DE3B73" w:rsidR="5C78B7E9" w:rsidRPr="00E204F6" w:rsidRDefault="49907402" w:rsidP="76C0B922">
      <w:pPr>
        <w:pStyle w:val="Heading2"/>
        <w:rPr>
          <w:rFonts w:ascii="Times New Roman" w:eastAsia="Times New Roman" w:hAnsi="Times New Roman" w:cs="Times New Roman"/>
          <w:color w:val="auto"/>
          <w:sz w:val="28"/>
          <w:szCs w:val="28"/>
        </w:rPr>
      </w:pPr>
      <w:bookmarkStart w:id="8" w:name="_Toc1642436606"/>
      <w:r w:rsidRPr="30076135">
        <w:rPr>
          <w:rFonts w:ascii="Times New Roman" w:eastAsia="Times New Roman" w:hAnsi="Times New Roman" w:cs="Times New Roman"/>
          <w:color w:val="auto"/>
          <w:sz w:val="28"/>
          <w:szCs w:val="28"/>
        </w:rPr>
        <w:t>BASE-CASE DETERMINISTIC RESULTS</w:t>
      </w:r>
      <w:bookmarkEnd w:id="8"/>
    </w:p>
    <w:p w14:paraId="70B05B65" w14:textId="78177B25" w:rsidR="6DFEA1E4" w:rsidRPr="00E204F6" w:rsidRDefault="6DFEA1E4"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The base-case deterministic results, discounted at 3.5% per year and with half-cycle correction applied, are presented in Table 15. Treatment with Cabazitaxel plus Prednisone resulted in higher total costs (£28,687) compared to Mitoxantrone plus Prednisone (£24,125), yielding an incremental cost of £4,563 per patient. Cabazitaxel also produced greater health benefits, with 1.155 QALYs and 1.772 LYs compared to 0.874 QALYs and 1.346 LYs for Mitoxantrone. The incremental gain was 0.281 QALYs and 0.426 LYs, resulting in an ICER of £16,253 per QALY gained and £10,716 per LY gained. The net monetary benefit (NMB), calculated at a </w:t>
      </w:r>
      <w:r w:rsidR="00E204F6">
        <w:rPr>
          <w:rFonts w:ascii="Times New Roman" w:eastAsia="Times New Roman" w:hAnsi="Times New Roman" w:cs="Times New Roman"/>
          <w:sz w:val="24"/>
          <w:szCs w:val="24"/>
        </w:rPr>
        <w:t xml:space="preserve">WTP </w:t>
      </w:r>
      <w:r w:rsidRPr="00E204F6">
        <w:rPr>
          <w:rFonts w:ascii="Times New Roman" w:eastAsia="Times New Roman" w:hAnsi="Times New Roman" w:cs="Times New Roman"/>
          <w:sz w:val="24"/>
          <w:szCs w:val="24"/>
        </w:rPr>
        <w:t xml:space="preserve">threshold of £70,000 per QALY, was £52,320 for Cabazitaxel plus Prednisone and £37,163 for Mitoxantrone plus Prednisone, yielding an incremental NMB of £15,157 in favour of Cabazitaxel plus Prednisone. </w:t>
      </w:r>
    </w:p>
    <w:p w14:paraId="7D74B122" w14:textId="6B50D3F0" w:rsidR="3A510701" w:rsidRPr="00E204F6" w:rsidRDefault="3A510701"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b/>
          <w:bCs/>
          <w:sz w:val="24"/>
          <w:szCs w:val="24"/>
        </w:rPr>
        <w:t>Table</w:t>
      </w:r>
      <w:r w:rsidR="1882F9D3" w:rsidRPr="00E204F6">
        <w:rPr>
          <w:rFonts w:ascii="Times New Roman" w:eastAsia="Times New Roman" w:hAnsi="Times New Roman" w:cs="Times New Roman"/>
          <w:b/>
          <w:bCs/>
          <w:sz w:val="24"/>
          <w:szCs w:val="24"/>
        </w:rPr>
        <w:t xml:space="preserve"> </w:t>
      </w:r>
      <w:r w:rsidR="7EAA6214" w:rsidRPr="00E204F6">
        <w:rPr>
          <w:rFonts w:ascii="Times New Roman" w:eastAsia="Times New Roman" w:hAnsi="Times New Roman" w:cs="Times New Roman"/>
          <w:b/>
          <w:bCs/>
          <w:sz w:val="24"/>
          <w:szCs w:val="24"/>
        </w:rPr>
        <w:t>15</w:t>
      </w:r>
      <w:r w:rsidR="1882F9D3" w:rsidRPr="00E204F6">
        <w:rPr>
          <w:rFonts w:ascii="Times New Roman" w:eastAsia="Times New Roman" w:hAnsi="Times New Roman" w:cs="Times New Roman"/>
          <w:b/>
          <w:bCs/>
          <w:sz w:val="24"/>
          <w:szCs w:val="24"/>
        </w:rPr>
        <w:t xml:space="preserve">. </w:t>
      </w:r>
      <w:r w:rsidR="1882F9D3" w:rsidRPr="00E204F6">
        <w:rPr>
          <w:rFonts w:ascii="Times New Roman" w:eastAsia="Times New Roman" w:hAnsi="Times New Roman" w:cs="Times New Roman"/>
          <w:sz w:val="24"/>
          <w:szCs w:val="24"/>
        </w:rPr>
        <w:t>Base-case deterministic results: mean discounted costs and effects per patient, by treatment arm.</w:t>
      </w:r>
    </w:p>
    <w:p w14:paraId="37B15EF1" w14:textId="2DBD449E" w:rsidR="09FA2D2A" w:rsidRPr="00E204F6" w:rsidRDefault="00634986" w:rsidP="76C0B922">
      <w:pPr>
        <w:spacing w:before="80" w:after="400"/>
        <w:rPr>
          <w:rFonts w:ascii="Times New Roman" w:eastAsia="Times New Roman" w:hAnsi="Times New Roman" w:cs="Times New Roman"/>
          <w:i/>
          <w:iCs/>
          <w:sz w:val="20"/>
          <w:szCs w:val="20"/>
        </w:rPr>
      </w:pPr>
      <w:r>
        <w:rPr>
          <w:noProof/>
        </w:rPr>
        <w:drawing>
          <wp:inline distT="0" distB="0" distL="0" distR="0" wp14:anchorId="78A6DFC9" wp14:editId="72E5F1BC">
            <wp:extent cx="5217572" cy="4075365"/>
            <wp:effectExtent l="0" t="0" r="0" b="0"/>
            <wp:docPr id="1656220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220668" name=""/>
                    <pic:cNvPicPr/>
                  </pic:nvPicPr>
                  <pic:blipFill>
                    <a:blip r:embed="rId25"/>
                    <a:stretch>
                      <a:fillRect/>
                    </a:stretch>
                  </pic:blipFill>
                  <pic:spPr>
                    <a:xfrm>
                      <a:off x="0" y="0"/>
                      <a:ext cx="5217572" cy="4075365"/>
                    </a:xfrm>
                    <a:prstGeom prst="rect">
                      <a:avLst/>
                    </a:prstGeom>
                  </pic:spPr>
                </pic:pic>
              </a:graphicData>
            </a:graphic>
          </wp:inline>
        </w:drawing>
      </w:r>
      <w:r w:rsidR="09FA2D2A" w:rsidRPr="30076135">
        <w:rPr>
          <w:rFonts w:ascii="Times New Roman" w:eastAsia="Times New Roman" w:hAnsi="Times New Roman" w:cs="Times New Roman"/>
          <w:i/>
          <w:iCs/>
          <w:sz w:val="20"/>
          <w:szCs w:val="20"/>
        </w:rPr>
        <w:t>Abbreviations: QALY = quality-adjusted life year; LY = life year; ICER = incremental cost-effectiveness ratio; NMB = net monetary benefit; WTP = willingness-to-pay threshold.</w:t>
      </w:r>
    </w:p>
    <w:p w14:paraId="6A264929" w14:textId="0A04DDB6" w:rsidR="09FA2D2A" w:rsidRPr="00E204F6" w:rsidRDefault="09FA2D2A" w:rsidP="76C0B922">
      <w:pPr>
        <w:spacing w:line="257" w:lineRule="auto"/>
        <w:rPr>
          <w:rFonts w:ascii="Times New Roman" w:eastAsia="Times New Roman" w:hAnsi="Times New Roman" w:cs="Times New Roman"/>
          <w:sz w:val="24"/>
          <w:szCs w:val="24"/>
        </w:rPr>
      </w:pPr>
      <w:r w:rsidRPr="2D08A563">
        <w:rPr>
          <w:rFonts w:ascii="Times New Roman" w:eastAsia="Times New Roman" w:hAnsi="Times New Roman" w:cs="Times New Roman"/>
          <w:sz w:val="24"/>
          <w:szCs w:val="24"/>
        </w:rPr>
        <w:t xml:space="preserve">The disaggregated costs and effects per treatment arm are presented in Table 16. Total SD costs </w:t>
      </w:r>
      <w:r w:rsidR="3F8245A8" w:rsidRPr="2D08A563">
        <w:rPr>
          <w:rFonts w:ascii="Times New Roman" w:eastAsia="Times New Roman" w:hAnsi="Times New Roman" w:cs="Times New Roman"/>
          <w:sz w:val="24"/>
          <w:szCs w:val="24"/>
        </w:rPr>
        <w:t>we</w:t>
      </w:r>
      <w:r w:rsidRPr="2D08A563">
        <w:rPr>
          <w:rFonts w:ascii="Times New Roman" w:eastAsia="Times New Roman" w:hAnsi="Times New Roman" w:cs="Times New Roman"/>
          <w:sz w:val="24"/>
          <w:szCs w:val="24"/>
        </w:rPr>
        <w:t xml:space="preserve">re £7,164 for Cabazitaxel and £5,457 for Mitoxantrone, with an incremental difference of £1,706. The largest cost components in SD were chemotherapy administration costs (£2,324 for Cabazitaxel, £2,071 for Mitoxantrone) and healthcare resource use costs (£2,192 for Cabazitaxel, £1,596 for Mitoxantrone). AE costs differed by £466 between the </w:t>
      </w:r>
      <w:r w:rsidRPr="2D08A563">
        <w:rPr>
          <w:rFonts w:ascii="Times New Roman" w:eastAsia="Times New Roman" w:hAnsi="Times New Roman" w:cs="Times New Roman"/>
          <w:sz w:val="24"/>
          <w:szCs w:val="24"/>
        </w:rPr>
        <w:lastRenderedPageBreak/>
        <w:t>two arms (£947 for Cabazitaxel, £482 for Mitoxantrone). Drug acquisition costs in SD were slightly lower for Cabazitaxel (£793) than for Mitoxantrone (£817).</w:t>
      </w:r>
    </w:p>
    <w:p w14:paraId="52C1D20B" w14:textId="588F568A" w:rsidR="09FA2D2A" w:rsidRPr="00E204F6" w:rsidRDefault="09FA2D2A"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Total PD costs were £15,484 for Cabazitaxel and £12,514 for Mitoxantrone, with an incremental difference of £2,970. Healthcare resource use was the largest cost component in PD (£9,028 for Cabazitaxel, £6,930 for Mitoxantrone), followed by chemotherapy administration costs (£2,360 for Cabazitaxel, £2,304 for Mitoxantrone) and concomitant medication costs (£1,908 for Cabazitaxel, £1,465 for Mitoxantrone). End-of-life costs were £6,039 for Cabazitaxel and £6,153 for Mitoxantrone, with Cabazitaxel being £114 lower.</w:t>
      </w:r>
    </w:p>
    <w:p w14:paraId="651386A3" w14:textId="348CB424" w:rsidR="09FA2D2A" w:rsidRPr="00E204F6" w:rsidRDefault="09FA2D2A" w:rsidP="76C0B922">
      <w:pPr>
        <w:spacing w:line="257" w:lineRule="auto"/>
        <w:rPr>
          <w:rFonts w:ascii="Times New Roman" w:eastAsia="Times New Roman" w:hAnsi="Times New Roman" w:cs="Times New Roman"/>
          <w:sz w:val="24"/>
          <w:szCs w:val="24"/>
        </w:rPr>
      </w:pPr>
      <w:r w:rsidRPr="2D08A563">
        <w:rPr>
          <w:rFonts w:ascii="Times New Roman" w:eastAsia="Times New Roman" w:hAnsi="Times New Roman" w:cs="Times New Roman"/>
          <w:sz w:val="24"/>
          <w:szCs w:val="24"/>
        </w:rPr>
        <w:t>On the effects side, Cabazitaxel patients accrued 0.356 LYs in SD and 1.416 LYs in PD, compared to 0.259 and 1.087 LYs for Mitoxantrone respectively. QALYs accrued in SD were 0.271 for Cabazitaxel and 0.195 for Mitoxantrone. QALYs accrued in PD were 0.888 for Cabazitaxel and 0.681 for Mitoxantrone. QALYs lost due to AEs were 0.004 for Cabazitaxel and 0.002 for Mitoxantrone.</w:t>
      </w:r>
    </w:p>
    <w:p w14:paraId="38AAD091" w14:textId="24329FF6" w:rsidR="09FA2D2A" w:rsidRPr="00E204F6" w:rsidRDefault="09FA2D2A" w:rsidP="76C0B922">
      <w:pPr>
        <w:spacing w:line="257" w:lineRule="auto"/>
        <w:rPr>
          <w:rFonts w:ascii="Times New Roman" w:eastAsia="Times New Roman" w:hAnsi="Times New Roman" w:cs="Times New Roman"/>
          <w:b/>
          <w:bCs/>
          <w:sz w:val="24"/>
          <w:szCs w:val="24"/>
        </w:rPr>
      </w:pPr>
      <w:r w:rsidRPr="30076135">
        <w:rPr>
          <w:rFonts w:ascii="Times New Roman" w:eastAsia="Times New Roman" w:hAnsi="Times New Roman" w:cs="Times New Roman"/>
          <w:b/>
          <w:bCs/>
          <w:sz w:val="24"/>
          <w:szCs w:val="24"/>
        </w:rPr>
        <w:t xml:space="preserve">Table 16. </w:t>
      </w:r>
      <w:r w:rsidRPr="30076135">
        <w:rPr>
          <w:rFonts w:ascii="Times New Roman" w:eastAsia="Times New Roman" w:hAnsi="Times New Roman" w:cs="Times New Roman"/>
          <w:sz w:val="24"/>
          <w:szCs w:val="24"/>
        </w:rPr>
        <w:t>Disaggregated costs and effects per patient, by treatment arm and health state (discounted at 3.5% per year).</w:t>
      </w:r>
    </w:p>
    <w:tbl>
      <w:tblPr>
        <w:tblW w:w="0" w:type="auto"/>
        <w:tblLook w:val="04A0" w:firstRow="1" w:lastRow="0" w:firstColumn="1" w:lastColumn="0" w:noHBand="0" w:noVBand="1"/>
      </w:tblPr>
      <w:tblGrid>
        <w:gridCol w:w="2405"/>
        <w:gridCol w:w="2204"/>
        <w:gridCol w:w="2338"/>
        <w:gridCol w:w="2105"/>
      </w:tblGrid>
      <w:tr w:rsidR="76C0B922" w:rsidRPr="00E204F6" w14:paraId="23B7B6F4" w14:textId="77777777" w:rsidTr="1EA10887">
        <w:trPr>
          <w:trHeight w:val="300"/>
        </w:trPr>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top w:w="70" w:type="dxa"/>
              <w:left w:w="130" w:type="dxa"/>
              <w:bottom w:w="70" w:type="dxa"/>
              <w:right w:w="130" w:type="dxa"/>
            </w:tcMar>
            <w:vAlign w:val="center"/>
          </w:tcPr>
          <w:p w14:paraId="353F9E5A" w14:textId="130ABEF5" w:rsidR="76C0B922" w:rsidRPr="00E204F6" w:rsidRDefault="76C0B922" w:rsidP="76C0B922">
            <w:pPr>
              <w:spacing w:line="257" w:lineRule="auto"/>
              <w:rPr>
                <w:rFonts w:ascii="Times New Roman" w:eastAsia="Times New Roman" w:hAnsi="Times New Roman" w:cs="Times New Roman"/>
                <w:sz w:val="24"/>
                <w:szCs w:val="24"/>
              </w:rPr>
            </w:pP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top w:w="70" w:type="dxa"/>
              <w:left w:w="130" w:type="dxa"/>
              <w:bottom w:w="70" w:type="dxa"/>
              <w:right w:w="130" w:type="dxa"/>
            </w:tcMar>
            <w:vAlign w:val="center"/>
          </w:tcPr>
          <w:p w14:paraId="394FB2BC" w14:textId="6FF303D6" w:rsidR="76C0B922" w:rsidRPr="00E204F6" w:rsidRDefault="76C0B922"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Cabazitaxel + Prednisone</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top w:w="70" w:type="dxa"/>
              <w:left w:w="130" w:type="dxa"/>
              <w:bottom w:w="70" w:type="dxa"/>
              <w:right w:w="130" w:type="dxa"/>
            </w:tcMar>
            <w:vAlign w:val="center"/>
          </w:tcPr>
          <w:p w14:paraId="7DD90B27" w14:textId="7D5B0976" w:rsidR="76C0B922" w:rsidRPr="00E204F6" w:rsidRDefault="76C0B922"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Mitoxantrone + Prednisone</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Mar>
              <w:top w:w="70" w:type="dxa"/>
              <w:left w:w="130" w:type="dxa"/>
              <w:bottom w:w="70" w:type="dxa"/>
              <w:right w:w="130" w:type="dxa"/>
            </w:tcMar>
            <w:vAlign w:val="center"/>
          </w:tcPr>
          <w:p w14:paraId="69A547B7" w14:textId="7E5DCAD1" w:rsidR="76C0B922" w:rsidRPr="00E204F6" w:rsidRDefault="76C0B922"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Increment</w:t>
            </w:r>
          </w:p>
        </w:tc>
      </w:tr>
      <w:tr w:rsidR="76C0B922" w:rsidRPr="00E204F6" w14:paraId="6B87845A" w14:textId="77777777" w:rsidTr="1EA10887">
        <w:trPr>
          <w:trHeight w:val="300"/>
        </w:trPr>
        <w:tc>
          <w:tcPr>
            <w:tcW w:w="9345"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70" w:type="dxa"/>
              <w:left w:w="130" w:type="dxa"/>
              <w:bottom w:w="70" w:type="dxa"/>
              <w:right w:w="130" w:type="dxa"/>
            </w:tcMar>
          </w:tcPr>
          <w:p w14:paraId="6367C358" w14:textId="021DBAF7" w:rsidR="76C0B922" w:rsidRPr="00E204F6" w:rsidRDefault="76C0B922"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Stable Disease (SD) costs</w:t>
            </w:r>
          </w:p>
        </w:tc>
      </w:tr>
      <w:tr w:rsidR="76C0B922" w:rsidRPr="00E204F6" w14:paraId="6EE3319E" w14:textId="77777777" w:rsidTr="1EA10887">
        <w:trPr>
          <w:trHeight w:val="300"/>
        </w:trPr>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60187A3F" w14:textId="42BCB8CD"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   Chemotherapy administration</w:t>
            </w:r>
          </w:p>
        </w:tc>
        <w:tc>
          <w:tcPr>
            <w:tcW w:w="1815" w:type="dxa"/>
            <w:tcBorders>
              <w:top w:val="nil"/>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6140694C" w14:textId="20086128"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£2,324</w:t>
            </w:r>
          </w:p>
        </w:tc>
        <w:tc>
          <w:tcPr>
            <w:tcW w:w="1815" w:type="dxa"/>
            <w:tcBorders>
              <w:top w:val="nil"/>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18871A18" w14:textId="6FC9B1C7"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£2,071</w:t>
            </w:r>
          </w:p>
        </w:tc>
        <w:tc>
          <w:tcPr>
            <w:tcW w:w="1815" w:type="dxa"/>
            <w:tcBorders>
              <w:top w:val="nil"/>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731B2C36" w14:textId="524E4489"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£253</w:t>
            </w:r>
          </w:p>
        </w:tc>
      </w:tr>
      <w:tr w:rsidR="76C0B922" w:rsidRPr="00E204F6" w14:paraId="66BE5C44" w14:textId="77777777" w:rsidTr="1EA10887">
        <w:trPr>
          <w:trHeight w:val="300"/>
        </w:trPr>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3D309E2C" w14:textId="509E8874"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   Healthcare resource use</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719CC809" w14:textId="294DF3C8"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£2,192</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441BD2B7" w14:textId="6CE87A42"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£1,596</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5BCCB217" w14:textId="348D27FB"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£596</w:t>
            </w:r>
          </w:p>
        </w:tc>
      </w:tr>
      <w:tr w:rsidR="76C0B922" w:rsidRPr="00E204F6" w14:paraId="4C824B27" w14:textId="77777777" w:rsidTr="1EA10887">
        <w:trPr>
          <w:trHeight w:val="300"/>
        </w:trPr>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69C6F6FC" w14:textId="7F6E0905"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   Drug acquisition costs</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27265E9C" w14:textId="5C158D6A"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£793</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20B42D62" w14:textId="31CD483E"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£817</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51C946A3" w14:textId="1FE9038A"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-£24</w:t>
            </w:r>
          </w:p>
        </w:tc>
      </w:tr>
      <w:tr w:rsidR="76C0B922" w:rsidRPr="00E204F6" w14:paraId="63138FF3" w14:textId="77777777" w:rsidTr="1EA10887">
        <w:trPr>
          <w:trHeight w:val="300"/>
        </w:trPr>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1B7BBCA9" w14:textId="176428EE"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   Adverse event costs</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52FC493C" w14:textId="26A04918"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£947</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50C47CE5" w14:textId="1FF31645"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£482</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091BD186" w14:textId="46889293"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£466</w:t>
            </w:r>
          </w:p>
        </w:tc>
      </w:tr>
      <w:tr w:rsidR="76C0B922" w:rsidRPr="00E204F6" w14:paraId="4581A596" w14:textId="77777777" w:rsidTr="1EA10887">
        <w:trPr>
          <w:trHeight w:val="300"/>
        </w:trPr>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5CED5B6A" w14:textId="03318FEC"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   Concomitant medication costs</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7A053D5B" w14:textId="54E0FD52"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£908</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31928106" w14:textId="5724431F"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£491</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10DD060C" w14:textId="43DB3B56"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£417</w:t>
            </w:r>
          </w:p>
        </w:tc>
      </w:tr>
      <w:tr w:rsidR="76C0B922" w:rsidRPr="00E204F6" w14:paraId="741100E6" w14:textId="77777777" w:rsidTr="1EA10887">
        <w:trPr>
          <w:trHeight w:val="300"/>
        </w:trPr>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5F98A2C8" w14:textId="3F2850ED" w:rsidR="76C0B922" w:rsidRPr="00E204F6" w:rsidRDefault="76C0B922"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Total SD costs</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4BE73A0E" w14:textId="0B070FFB" w:rsidR="76C0B922" w:rsidRPr="00E204F6" w:rsidRDefault="76C0B922"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£7,164</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6CE94F1E" w14:textId="5F9915B4" w:rsidR="76C0B922" w:rsidRPr="00E204F6" w:rsidRDefault="76C0B922"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£5,457</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19B1366F" w14:textId="66C8879F" w:rsidR="76C0B922" w:rsidRPr="00E204F6" w:rsidRDefault="76C0B922"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£1,706</w:t>
            </w:r>
          </w:p>
        </w:tc>
      </w:tr>
      <w:tr w:rsidR="76C0B922" w:rsidRPr="00E204F6" w14:paraId="243AA064" w14:textId="77777777" w:rsidTr="1EA10887">
        <w:trPr>
          <w:trHeight w:val="300"/>
        </w:trPr>
        <w:tc>
          <w:tcPr>
            <w:tcW w:w="9345"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70" w:type="dxa"/>
              <w:left w:w="130" w:type="dxa"/>
              <w:bottom w:w="70" w:type="dxa"/>
              <w:right w:w="130" w:type="dxa"/>
            </w:tcMar>
          </w:tcPr>
          <w:p w14:paraId="0F922BC8" w14:textId="10F41851" w:rsidR="76C0B922" w:rsidRPr="00E204F6" w:rsidRDefault="76C0B922"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Progressive Disease (PD) costs</w:t>
            </w:r>
          </w:p>
        </w:tc>
      </w:tr>
      <w:tr w:rsidR="63CA316A" w14:paraId="07E87D7C" w14:textId="77777777" w:rsidTr="1EA10887">
        <w:trPr>
          <w:trHeight w:val="300"/>
        </w:trPr>
        <w:tc>
          <w:tcPr>
            <w:tcW w:w="36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55136474" w14:textId="01516268" w:rsidR="4F9AE06C" w:rsidRDefault="4F9AE06C" w:rsidP="63CA316A">
            <w:pPr>
              <w:spacing w:line="257" w:lineRule="auto"/>
              <w:rPr>
                <w:rFonts w:ascii="Times New Roman" w:eastAsia="Times New Roman" w:hAnsi="Times New Roman" w:cs="Times New Roman"/>
                <w:sz w:val="24"/>
                <w:szCs w:val="24"/>
              </w:rPr>
            </w:pPr>
            <w:r w:rsidRPr="63CA316A">
              <w:rPr>
                <w:rFonts w:ascii="Times New Roman" w:eastAsia="Times New Roman" w:hAnsi="Times New Roman" w:cs="Times New Roman"/>
                <w:sz w:val="24"/>
                <w:szCs w:val="24"/>
              </w:rPr>
              <w:t xml:space="preserve">   Drug acquisition costs</w:t>
            </w:r>
            <w:r w:rsidR="55E565D1" w:rsidRPr="63CA316A">
              <w:rPr>
                <w:rFonts w:ascii="Times New Roman" w:eastAsia="Times New Roman" w:hAnsi="Times New Roman" w:cs="Times New Roman"/>
                <w:sz w:val="24"/>
                <w:szCs w:val="24"/>
              </w:rPr>
              <w:t xml:space="preserve"> post-    progression chemo</w:t>
            </w:r>
          </w:p>
        </w:tc>
        <w:tc>
          <w:tcPr>
            <w:tcW w:w="36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5677B8E6" w14:textId="1757BC04" w:rsidR="10580776" w:rsidRDefault="10580776" w:rsidP="076FFB4A">
            <w:pPr>
              <w:spacing w:line="257" w:lineRule="auto"/>
              <w:rPr>
                <w:rFonts w:ascii="Times New Roman" w:eastAsia="Times New Roman" w:hAnsi="Times New Roman" w:cs="Times New Roman"/>
                <w:sz w:val="24"/>
                <w:szCs w:val="24"/>
              </w:rPr>
            </w:pPr>
            <w:r w:rsidRPr="076FFB4A">
              <w:rPr>
                <w:rFonts w:ascii="Arial" w:eastAsia="Arial" w:hAnsi="Arial" w:cs="Arial"/>
                <w:color w:val="000000" w:themeColor="text1"/>
                <w:sz w:val="20"/>
                <w:szCs w:val="20"/>
              </w:rPr>
              <w:t>£731</w:t>
            </w:r>
          </w:p>
        </w:tc>
        <w:tc>
          <w:tcPr>
            <w:tcW w:w="36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2DED8BFC" w14:textId="65CEA1BC" w:rsidR="10580776" w:rsidRDefault="10580776" w:rsidP="624130D5">
            <w:pPr>
              <w:spacing w:line="257" w:lineRule="auto"/>
              <w:rPr>
                <w:rFonts w:ascii="Arial" w:eastAsia="Arial" w:hAnsi="Arial" w:cs="Arial"/>
                <w:color w:val="000000" w:themeColor="text1"/>
                <w:sz w:val="20"/>
                <w:szCs w:val="20"/>
              </w:rPr>
            </w:pPr>
            <w:r w:rsidRPr="624130D5">
              <w:rPr>
                <w:rFonts w:ascii="Arial" w:eastAsia="Arial" w:hAnsi="Arial" w:cs="Arial"/>
                <w:color w:val="000000" w:themeColor="text1"/>
                <w:sz w:val="20"/>
                <w:szCs w:val="20"/>
              </w:rPr>
              <w:t>£663</w:t>
            </w:r>
          </w:p>
        </w:tc>
        <w:tc>
          <w:tcPr>
            <w:tcW w:w="36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17B22DEC" w14:textId="3B25DD17" w:rsidR="10580776" w:rsidRDefault="10580776" w:rsidP="624130D5">
            <w:pPr>
              <w:spacing w:line="257" w:lineRule="auto"/>
              <w:rPr>
                <w:rFonts w:ascii="Arial" w:eastAsia="Arial" w:hAnsi="Arial" w:cs="Arial"/>
                <w:color w:val="000000" w:themeColor="text1"/>
                <w:sz w:val="20"/>
                <w:szCs w:val="20"/>
              </w:rPr>
            </w:pPr>
            <w:r w:rsidRPr="624130D5">
              <w:rPr>
                <w:rFonts w:ascii="Arial" w:eastAsia="Arial" w:hAnsi="Arial" w:cs="Arial"/>
                <w:color w:val="000000" w:themeColor="text1"/>
                <w:sz w:val="20"/>
                <w:szCs w:val="20"/>
              </w:rPr>
              <w:t>£68</w:t>
            </w:r>
          </w:p>
        </w:tc>
      </w:tr>
      <w:tr w:rsidR="76C0B922" w:rsidRPr="00E204F6" w14:paraId="7C4C14D7" w14:textId="77777777" w:rsidTr="001F3DD9">
        <w:trPr>
          <w:trHeight w:val="300"/>
        </w:trPr>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09DF462F" w14:textId="600F903A" w:rsidR="76C0B922" w:rsidRPr="00E204F6" w:rsidRDefault="76C0B922" w:rsidP="76C0B922">
            <w:pPr>
              <w:spacing w:line="257" w:lineRule="auto"/>
              <w:rPr>
                <w:rFonts w:ascii="Times New Roman" w:eastAsia="Times New Roman" w:hAnsi="Times New Roman" w:cs="Times New Roman"/>
                <w:sz w:val="24"/>
                <w:szCs w:val="24"/>
              </w:rPr>
            </w:pPr>
            <w:r w:rsidRPr="63CA316A">
              <w:rPr>
                <w:rFonts w:ascii="Times New Roman" w:eastAsia="Times New Roman" w:hAnsi="Times New Roman" w:cs="Times New Roman"/>
                <w:sz w:val="24"/>
                <w:szCs w:val="24"/>
              </w:rPr>
              <w:lastRenderedPageBreak/>
              <w:t xml:space="preserve">  </w:t>
            </w:r>
            <w:r w:rsidR="2A7354AA" w:rsidRPr="63CA316A">
              <w:rPr>
                <w:rFonts w:ascii="Times New Roman" w:eastAsia="Times New Roman" w:hAnsi="Times New Roman" w:cs="Times New Roman"/>
                <w:sz w:val="24"/>
                <w:szCs w:val="24"/>
              </w:rPr>
              <w:t xml:space="preserve"> </w:t>
            </w:r>
            <w:r w:rsidRPr="63CA316A">
              <w:rPr>
                <w:rFonts w:ascii="Times New Roman" w:eastAsia="Times New Roman" w:hAnsi="Times New Roman" w:cs="Times New Roman"/>
                <w:sz w:val="24"/>
                <w:szCs w:val="24"/>
              </w:rPr>
              <w:t>Chemotherapy administration</w:t>
            </w:r>
            <w:r w:rsidR="2BF9936E" w:rsidRPr="63CA316A">
              <w:rPr>
                <w:rFonts w:ascii="Times New Roman" w:eastAsia="Times New Roman" w:hAnsi="Times New Roman" w:cs="Times New Roman"/>
                <w:sz w:val="24"/>
                <w:szCs w:val="24"/>
              </w:rPr>
              <w:t xml:space="preserve"> costs</w:t>
            </w:r>
          </w:p>
        </w:tc>
        <w:tc>
          <w:tcPr>
            <w:tcW w:w="1815" w:type="dxa"/>
            <w:tcBorders>
              <w:top w:val="single" w:sz="4" w:space="0" w:color="auto"/>
              <w:left w:val="single" w:sz="8" w:space="0" w:color="000000" w:themeColor="text1"/>
              <w:bottom w:val="single" w:sz="6" w:space="0" w:color="000000" w:themeColor="text1"/>
              <w:right w:val="single" w:sz="8" w:space="0" w:color="000000" w:themeColor="text1"/>
            </w:tcBorders>
            <w:tcMar>
              <w:top w:w="70" w:type="dxa"/>
              <w:left w:w="130" w:type="dxa"/>
              <w:bottom w:w="70" w:type="dxa"/>
              <w:right w:w="130" w:type="dxa"/>
            </w:tcMar>
            <w:vAlign w:val="center"/>
          </w:tcPr>
          <w:p w14:paraId="4FE2BE70" w14:textId="53B6DBF9" w:rsidR="76C0B922" w:rsidRPr="00E204F6" w:rsidRDefault="76C0B922" w:rsidP="076FFB4A">
            <w:pPr>
              <w:spacing w:line="257" w:lineRule="auto"/>
              <w:rPr>
                <w:rFonts w:ascii="Times New Roman" w:eastAsia="Times New Roman" w:hAnsi="Times New Roman" w:cs="Times New Roman"/>
                <w:sz w:val="24"/>
                <w:szCs w:val="24"/>
              </w:rPr>
            </w:pPr>
            <w:r w:rsidRPr="076FFB4A">
              <w:rPr>
                <w:rFonts w:ascii="Times New Roman" w:eastAsia="Times New Roman" w:hAnsi="Times New Roman" w:cs="Times New Roman"/>
                <w:sz w:val="24"/>
                <w:szCs w:val="24"/>
              </w:rPr>
              <w:t>£2,360</w:t>
            </w:r>
          </w:p>
        </w:tc>
        <w:tc>
          <w:tcPr>
            <w:tcW w:w="1815" w:type="dxa"/>
            <w:tcBorders>
              <w:top w:val="single" w:sz="4" w:space="0" w:color="auto"/>
              <w:left w:val="single" w:sz="8" w:space="0" w:color="000000" w:themeColor="text1"/>
              <w:bottom w:val="single" w:sz="6" w:space="0" w:color="000000" w:themeColor="text1"/>
              <w:right w:val="single" w:sz="8" w:space="0" w:color="000000" w:themeColor="text1"/>
            </w:tcBorders>
            <w:tcMar>
              <w:top w:w="70" w:type="dxa"/>
              <w:left w:w="130" w:type="dxa"/>
              <w:bottom w:w="70" w:type="dxa"/>
              <w:right w:w="130" w:type="dxa"/>
            </w:tcMar>
            <w:vAlign w:val="center"/>
          </w:tcPr>
          <w:p w14:paraId="2BB4BEF2" w14:textId="0447768F" w:rsidR="76C0B922" w:rsidRPr="00E204F6" w:rsidRDefault="76C0B922" w:rsidP="076FFB4A">
            <w:pPr>
              <w:spacing w:line="257" w:lineRule="auto"/>
              <w:rPr>
                <w:rFonts w:ascii="Times New Roman" w:eastAsia="Times New Roman" w:hAnsi="Times New Roman" w:cs="Times New Roman"/>
                <w:sz w:val="24"/>
                <w:szCs w:val="24"/>
              </w:rPr>
            </w:pPr>
            <w:r w:rsidRPr="076FFB4A">
              <w:rPr>
                <w:rFonts w:ascii="Times New Roman" w:eastAsia="Times New Roman" w:hAnsi="Times New Roman" w:cs="Times New Roman"/>
                <w:sz w:val="24"/>
                <w:szCs w:val="24"/>
              </w:rPr>
              <w:t>£2,304</w:t>
            </w:r>
          </w:p>
        </w:tc>
        <w:tc>
          <w:tcPr>
            <w:tcW w:w="1815" w:type="dxa"/>
            <w:tcBorders>
              <w:top w:val="single" w:sz="4" w:space="0" w:color="auto"/>
              <w:left w:val="single" w:sz="8" w:space="0" w:color="000000" w:themeColor="text1"/>
              <w:bottom w:val="single" w:sz="6" w:space="0" w:color="000000" w:themeColor="text1"/>
              <w:right w:val="single" w:sz="8" w:space="0" w:color="000000" w:themeColor="text1"/>
            </w:tcBorders>
            <w:tcMar>
              <w:top w:w="70" w:type="dxa"/>
              <w:left w:w="130" w:type="dxa"/>
              <w:bottom w:w="70" w:type="dxa"/>
              <w:right w:w="130" w:type="dxa"/>
            </w:tcMar>
            <w:vAlign w:val="center"/>
          </w:tcPr>
          <w:p w14:paraId="39020974" w14:textId="571FF675" w:rsidR="76C0B922" w:rsidRPr="00E204F6" w:rsidRDefault="76C0B922" w:rsidP="076FFB4A">
            <w:pPr>
              <w:spacing w:line="257" w:lineRule="auto"/>
              <w:rPr>
                <w:rFonts w:ascii="Times New Roman" w:eastAsia="Times New Roman" w:hAnsi="Times New Roman" w:cs="Times New Roman"/>
                <w:sz w:val="24"/>
                <w:szCs w:val="24"/>
              </w:rPr>
            </w:pPr>
            <w:r w:rsidRPr="076FFB4A">
              <w:rPr>
                <w:rFonts w:ascii="Times New Roman" w:eastAsia="Times New Roman" w:hAnsi="Times New Roman" w:cs="Times New Roman"/>
                <w:sz w:val="24"/>
                <w:szCs w:val="24"/>
              </w:rPr>
              <w:t>£56</w:t>
            </w:r>
          </w:p>
        </w:tc>
      </w:tr>
      <w:tr w:rsidR="497317B3" w14:paraId="1AB6196D" w14:textId="77777777" w:rsidTr="1EA10887">
        <w:trPr>
          <w:trHeight w:val="300"/>
        </w:trPr>
        <w:tc>
          <w:tcPr>
            <w:tcW w:w="3696" w:type="dxa"/>
            <w:tcBorders>
              <w:top w:val="single" w:sz="8" w:space="0" w:color="000000" w:themeColor="text1"/>
              <w:left w:val="single" w:sz="8" w:space="0" w:color="000000" w:themeColor="text1"/>
              <w:bottom w:val="single" w:sz="8" w:space="0" w:color="000000" w:themeColor="text1"/>
              <w:right w:val="single" w:sz="6" w:space="0" w:color="000000" w:themeColor="text1"/>
            </w:tcBorders>
            <w:tcMar>
              <w:top w:w="70" w:type="dxa"/>
              <w:left w:w="130" w:type="dxa"/>
              <w:bottom w:w="70" w:type="dxa"/>
              <w:right w:w="130" w:type="dxa"/>
            </w:tcMar>
            <w:vAlign w:val="center"/>
          </w:tcPr>
          <w:p w14:paraId="7F775E2F" w14:textId="160B5CF7" w:rsidR="09FBCAE7" w:rsidRDefault="09FBCAE7" w:rsidP="497317B3">
            <w:pPr>
              <w:spacing w:line="257" w:lineRule="auto"/>
              <w:rPr>
                <w:rFonts w:ascii="Times New Roman" w:eastAsia="Times New Roman" w:hAnsi="Times New Roman" w:cs="Times New Roman"/>
                <w:sz w:val="24"/>
                <w:szCs w:val="24"/>
              </w:rPr>
            </w:pPr>
            <w:r w:rsidRPr="63CA316A">
              <w:rPr>
                <w:rFonts w:ascii="Times New Roman" w:eastAsia="Times New Roman" w:hAnsi="Times New Roman" w:cs="Times New Roman"/>
                <w:sz w:val="24"/>
                <w:szCs w:val="24"/>
              </w:rPr>
              <w:t xml:space="preserve">   Premed</w:t>
            </w:r>
            <w:r w:rsidR="21217178" w:rsidRPr="63CA316A">
              <w:rPr>
                <w:rFonts w:ascii="Times New Roman" w:eastAsia="Times New Roman" w:hAnsi="Times New Roman" w:cs="Times New Roman"/>
                <w:sz w:val="24"/>
                <w:szCs w:val="24"/>
              </w:rPr>
              <w:t>ication</w:t>
            </w:r>
            <w:r w:rsidRPr="63CA316A">
              <w:rPr>
                <w:rFonts w:ascii="Times New Roman" w:eastAsia="Times New Roman" w:hAnsi="Times New Roman" w:cs="Times New Roman"/>
                <w:sz w:val="24"/>
                <w:szCs w:val="24"/>
              </w:rPr>
              <w:t xml:space="preserve"> costs </w:t>
            </w:r>
          </w:p>
        </w:tc>
        <w:tc>
          <w:tcPr>
            <w:tcW w:w="17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0" w:type="dxa"/>
              <w:left w:w="130" w:type="dxa"/>
              <w:bottom w:w="70" w:type="dxa"/>
              <w:right w:w="130" w:type="dxa"/>
            </w:tcMar>
            <w:vAlign w:val="center"/>
          </w:tcPr>
          <w:p w14:paraId="4369BF76" w14:textId="1A54598E" w:rsidR="63CA316A" w:rsidRDefault="63CA316A" w:rsidP="076FFB4A">
            <w:pPr>
              <w:spacing w:line="257" w:lineRule="auto"/>
              <w:rPr>
                <w:rFonts w:ascii="Times New Roman" w:eastAsia="Times New Roman" w:hAnsi="Times New Roman" w:cs="Times New Roman"/>
                <w:sz w:val="24"/>
                <w:szCs w:val="24"/>
              </w:rPr>
            </w:pPr>
            <w:r w:rsidRPr="076FFB4A">
              <w:rPr>
                <w:rFonts w:ascii="Times New Roman" w:eastAsia="Times New Roman" w:hAnsi="Times New Roman" w:cs="Times New Roman"/>
                <w:sz w:val="24"/>
                <w:szCs w:val="24"/>
              </w:rPr>
              <w:t>£161</w:t>
            </w:r>
          </w:p>
        </w:tc>
        <w:tc>
          <w:tcPr>
            <w:tcW w:w="18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0" w:type="dxa"/>
              <w:left w:w="130" w:type="dxa"/>
              <w:bottom w:w="70" w:type="dxa"/>
              <w:right w:w="130" w:type="dxa"/>
            </w:tcMar>
            <w:vAlign w:val="center"/>
          </w:tcPr>
          <w:p w14:paraId="084D3B50" w14:textId="2CA0AED1" w:rsidR="63CA316A" w:rsidRDefault="63CA316A" w:rsidP="076FFB4A">
            <w:pPr>
              <w:spacing w:line="257" w:lineRule="auto"/>
              <w:rPr>
                <w:rFonts w:ascii="Times New Roman" w:eastAsia="Times New Roman" w:hAnsi="Times New Roman" w:cs="Times New Roman"/>
                <w:sz w:val="24"/>
                <w:szCs w:val="24"/>
              </w:rPr>
            </w:pPr>
            <w:r w:rsidRPr="076FFB4A">
              <w:rPr>
                <w:rFonts w:ascii="Times New Roman" w:eastAsia="Times New Roman" w:hAnsi="Times New Roman" w:cs="Times New Roman"/>
                <w:sz w:val="24"/>
                <w:szCs w:val="24"/>
              </w:rPr>
              <w:t>£157</w:t>
            </w:r>
          </w:p>
        </w:tc>
        <w:tc>
          <w:tcPr>
            <w:tcW w:w="17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0" w:type="dxa"/>
              <w:left w:w="130" w:type="dxa"/>
              <w:bottom w:w="70" w:type="dxa"/>
              <w:right w:w="130" w:type="dxa"/>
            </w:tcMar>
            <w:vAlign w:val="center"/>
          </w:tcPr>
          <w:p w14:paraId="2948C49A" w14:textId="6FFE4D66" w:rsidR="63CA316A" w:rsidRDefault="63CA316A" w:rsidP="076FFB4A">
            <w:pPr>
              <w:spacing w:line="257" w:lineRule="auto"/>
              <w:rPr>
                <w:rFonts w:ascii="Times New Roman" w:eastAsia="Times New Roman" w:hAnsi="Times New Roman" w:cs="Times New Roman"/>
                <w:sz w:val="24"/>
                <w:szCs w:val="24"/>
              </w:rPr>
            </w:pPr>
            <w:r w:rsidRPr="076FFB4A">
              <w:rPr>
                <w:rFonts w:ascii="Times New Roman" w:eastAsia="Times New Roman" w:hAnsi="Times New Roman" w:cs="Times New Roman"/>
                <w:sz w:val="24"/>
                <w:szCs w:val="24"/>
              </w:rPr>
              <w:t>£4</w:t>
            </w:r>
          </w:p>
        </w:tc>
      </w:tr>
      <w:tr w:rsidR="76C0B922" w:rsidRPr="00E204F6" w14:paraId="2181265F" w14:textId="77777777" w:rsidTr="1EA10887">
        <w:trPr>
          <w:trHeight w:val="300"/>
        </w:trPr>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4901B273" w14:textId="0E729A69" w:rsidR="76C0B922" w:rsidRPr="00E204F6" w:rsidRDefault="76C0B922" w:rsidP="76C0B922">
            <w:pPr>
              <w:spacing w:line="257" w:lineRule="auto"/>
              <w:rPr>
                <w:rFonts w:ascii="Times New Roman" w:eastAsia="Times New Roman" w:hAnsi="Times New Roman" w:cs="Times New Roman"/>
                <w:sz w:val="24"/>
                <w:szCs w:val="24"/>
              </w:rPr>
            </w:pPr>
            <w:r w:rsidRPr="189799A5">
              <w:rPr>
                <w:rFonts w:ascii="Times New Roman" w:eastAsia="Times New Roman" w:hAnsi="Times New Roman" w:cs="Times New Roman"/>
                <w:sz w:val="24"/>
                <w:szCs w:val="24"/>
              </w:rPr>
              <w:t xml:space="preserve">   Healthcare resource use</w:t>
            </w:r>
            <w:r w:rsidR="2E053CA4" w:rsidRPr="189799A5">
              <w:rPr>
                <w:rFonts w:ascii="Times New Roman" w:eastAsia="Times New Roman" w:hAnsi="Times New Roman" w:cs="Times New Roman"/>
                <w:sz w:val="24"/>
                <w:szCs w:val="24"/>
              </w:rPr>
              <w:t xml:space="preserve"> costs</w:t>
            </w:r>
          </w:p>
        </w:tc>
        <w:tc>
          <w:tcPr>
            <w:tcW w:w="1815"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0BB60FEF" w14:textId="1CB34457" w:rsidR="76C0B922" w:rsidRPr="00E204F6" w:rsidRDefault="76C0B922" w:rsidP="076FFB4A">
            <w:pPr>
              <w:spacing w:line="257" w:lineRule="auto"/>
              <w:rPr>
                <w:rFonts w:ascii="Times New Roman" w:eastAsia="Times New Roman" w:hAnsi="Times New Roman" w:cs="Times New Roman"/>
                <w:sz w:val="24"/>
                <w:szCs w:val="24"/>
              </w:rPr>
            </w:pPr>
            <w:r w:rsidRPr="076FFB4A">
              <w:rPr>
                <w:rFonts w:ascii="Times New Roman" w:eastAsia="Times New Roman" w:hAnsi="Times New Roman" w:cs="Times New Roman"/>
                <w:sz w:val="24"/>
                <w:szCs w:val="24"/>
              </w:rPr>
              <w:t>£9,028</w:t>
            </w:r>
          </w:p>
        </w:tc>
        <w:tc>
          <w:tcPr>
            <w:tcW w:w="1815"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1D159C25" w14:textId="77A182AA" w:rsidR="76C0B922" w:rsidRPr="00E204F6" w:rsidRDefault="76C0B922" w:rsidP="076FFB4A">
            <w:pPr>
              <w:spacing w:line="257" w:lineRule="auto"/>
              <w:rPr>
                <w:rFonts w:ascii="Times New Roman" w:eastAsia="Times New Roman" w:hAnsi="Times New Roman" w:cs="Times New Roman"/>
                <w:sz w:val="24"/>
                <w:szCs w:val="24"/>
              </w:rPr>
            </w:pPr>
            <w:r w:rsidRPr="076FFB4A">
              <w:rPr>
                <w:rFonts w:ascii="Times New Roman" w:eastAsia="Times New Roman" w:hAnsi="Times New Roman" w:cs="Times New Roman"/>
                <w:sz w:val="24"/>
                <w:szCs w:val="24"/>
              </w:rPr>
              <w:t>£6,930</w:t>
            </w:r>
          </w:p>
        </w:tc>
        <w:tc>
          <w:tcPr>
            <w:tcW w:w="1815"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4413BC22" w14:textId="4B9E1B27" w:rsidR="76C0B922" w:rsidRPr="00E204F6" w:rsidRDefault="76C0B922" w:rsidP="076FFB4A">
            <w:pPr>
              <w:spacing w:line="257" w:lineRule="auto"/>
              <w:rPr>
                <w:rFonts w:ascii="Times New Roman" w:eastAsia="Times New Roman" w:hAnsi="Times New Roman" w:cs="Times New Roman"/>
                <w:sz w:val="24"/>
                <w:szCs w:val="24"/>
              </w:rPr>
            </w:pPr>
            <w:r w:rsidRPr="076FFB4A">
              <w:rPr>
                <w:rFonts w:ascii="Times New Roman" w:eastAsia="Times New Roman" w:hAnsi="Times New Roman" w:cs="Times New Roman"/>
                <w:sz w:val="24"/>
                <w:szCs w:val="24"/>
              </w:rPr>
              <w:t>£2,098</w:t>
            </w:r>
          </w:p>
        </w:tc>
      </w:tr>
      <w:tr w:rsidR="76C0B922" w:rsidRPr="00E204F6" w14:paraId="70C97299" w14:textId="77777777" w:rsidTr="1EA10887">
        <w:trPr>
          <w:trHeight w:val="300"/>
        </w:trPr>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6CFF8443" w14:textId="0D0B047B"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   Concomitant medication costs</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598D2977" w14:textId="69912A5A" w:rsidR="76C0B922" w:rsidRPr="00E204F6" w:rsidRDefault="76C0B922" w:rsidP="076FFB4A">
            <w:pPr>
              <w:spacing w:line="257" w:lineRule="auto"/>
              <w:rPr>
                <w:rFonts w:ascii="Times New Roman" w:eastAsia="Times New Roman" w:hAnsi="Times New Roman" w:cs="Times New Roman"/>
                <w:sz w:val="24"/>
                <w:szCs w:val="24"/>
              </w:rPr>
            </w:pPr>
            <w:r w:rsidRPr="076FFB4A">
              <w:rPr>
                <w:rFonts w:ascii="Times New Roman" w:eastAsia="Times New Roman" w:hAnsi="Times New Roman" w:cs="Times New Roman"/>
                <w:sz w:val="24"/>
                <w:szCs w:val="24"/>
              </w:rPr>
              <w:t>£1,908</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6035EB82" w14:textId="43E1BEEA" w:rsidR="76C0B922" w:rsidRPr="00E204F6" w:rsidRDefault="76C0B922" w:rsidP="076FFB4A">
            <w:pPr>
              <w:spacing w:line="257" w:lineRule="auto"/>
              <w:rPr>
                <w:rFonts w:ascii="Times New Roman" w:eastAsia="Times New Roman" w:hAnsi="Times New Roman" w:cs="Times New Roman"/>
                <w:sz w:val="24"/>
                <w:szCs w:val="24"/>
              </w:rPr>
            </w:pPr>
            <w:r w:rsidRPr="076FFB4A">
              <w:rPr>
                <w:rFonts w:ascii="Times New Roman" w:eastAsia="Times New Roman" w:hAnsi="Times New Roman" w:cs="Times New Roman"/>
                <w:sz w:val="24"/>
                <w:szCs w:val="24"/>
              </w:rPr>
              <w:t>£1,465</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02AC7F22" w14:textId="3C0CC3B0" w:rsidR="76C0B922" w:rsidRPr="00E204F6" w:rsidRDefault="76C0B922" w:rsidP="076FFB4A">
            <w:pPr>
              <w:spacing w:line="257" w:lineRule="auto"/>
              <w:rPr>
                <w:rFonts w:ascii="Times New Roman" w:eastAsia="Times New Roman" w:hAnsi="Times New Roman" w:cs="Times New Roman"/>
                <w:sz w:val="24"/>
                <w:szCs w:val="24"/>
              </w:rPr>
            </w:pPr>
            <w:r w:rsidRPr="076FFB4A">
              <w:rPr>
                <w:rFonts w:ascii="Times New Roman" w:eastAsia="Times New Roman" w:hAnsi="Times New Roman" w:cs="Times New Roman"/>
                <w:sz w:val="24"/>
                <w:szCs w:val="24"/>
              </w:rPr>
              <w:t>£443</w:t>
            </w:r>
          </w:p>
        </w:tc>
      </w:tr>
      <w:tr w:rsidR="63CA316A" w14:paraId="70A2A24F" w14:textId="77777777" w:rsidTr="1EA10887">
        <w:trPr>
          <w:trHeight w:val="300"/>
        </w:trPr>
        <w:tc>
          <w:tcPr>
            <w:tcW w:w="36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392B3F0C" w14:textId="7F4231BD" w:rsidR="10AE1089" w:rsidRDefault="10AE1089" w:rsidP="63CA316A">
            <w:pPr>
              <w:spacing w:line="257" w:lineRule="auto"/>
              <w:rPr>
                <w:rFonts w:ascii="Times New Roman" w:eastAsia="Times New Roman" w:hAnsi="Times New Roman" w:cs="Times New Roman"/>
                <w:sz w:val="24"/>
                <w:szCs w:val="24"/>
              </w:rPr>
            </w:pPr>
            <w:r w:rsidRPr="63CA316A">
              <w:rPr>
                <w:rFonts w:ascii="Times New Roman" w:eastAsia="Times New Roman" w:hAnsi="Times New Roman" w:cs="Times New Roman"/>
                <w:sz w:val="24"/>
                <w:szCs w:val="24"/>
              </w:rPr>
              <w:t xml:space="preserve">   Best supportive care costs</w:t>
            </w:r>
          </w:p>
        </w:tc>
        <w:tc>
          <w:tcPr>
            <w:tcW w:w="17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625DF3A9" w14:textId="114CD2AC" w:rsidR="63CA316A" w:rsidRDefault="63CA316A" w:rsidP="076FFB4A">
            <w:pPr>
              <w:spacing w:line="257" w:lineRule="auto"/>
              <w:rPr>
                <w:rFonts w:ascii="Times New Roman" w:eastAsia="Times New Roman" w:hAnsi="Times New Roman" w:cs="Times New Roman"/>
                <w:sz w:val="24"/>
                <w:szCs w:val="24"/>
              </w:rPr>
            </w:pPr>
            <w:r w:rsidRPr="076FFB4A">
              <w:rPr>
                <w:rFonts w:ascii="Times New Roman" w:eastAsia="Times New Roman" w:hAnsi="Times New Roman" w:cs="Times New Roman"/>
                <w:sz w:val="24"/>
                <w:szCs w:val="24"/>
              </w:rPr>
              <w:t>£1,296</w:t>
            </w:r>
          </w:p>
        </w:tc>
        <w:tc>
          <w:tcPr>
            <w:tcW w:w="18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2A64A28D" w14:textId="13C61ACB" w:rsidR="63CA316A" w:rsidRDefault="63CA316A" w:rsidP="076FFB4A">
            <w:pPr>
              <w:spacing w:line="257" w:lineRule="auto"/>
              <w:rPr>
                <w:rFonts w:ascii="Times New Roman" w:eastAsia="Times New Roman" w:hAnsi="Times New Roman" w:cs="Times New Roman"/>
                <w:sz w:val="24"/>
                <w:szCs w:val="24"/>
              </w:rPr>
            </w:pPr>
            <w:r w:rsidRPr="076FFB4A">
              <w:rPr>
                <w:rFonts w:ascii="Times New Roman" w:eastAsia="Times New Roman" w:hAnsi="Times New Roman" w:cs="Times New Roman"/>
                <w:sz w:val="24"/>
                <w:szCs w:val="24"/>
              </w:rPr>
              <w:t>£995</w:t>
            </w:r>
          </w:p>
        </w:tc>
        <w:tc>
          <w:tcPr>
            <w:tcW w:w="17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7B9B5B0C" w14:textId="5BE6D507" w:rsidR="63CA316A" w:rsidRDefault="63CA316A" w:rsidP="076FFB4A">
            <w:pPr>
              <w:spacing w:line="257" w:lineRule="auto"/>
              <w:rPr>
                <w:rFonts w:ascii="Times New Roman" w:eastAsia="Times New Roman" w:hAnsi="Times New Roman" w:cs="Times New Roman"/>
                <w:sz w:val="24"/>
                <w:szCs w:val="24"/>
              </w:rPr>
            </w:pPr>
            <w:r w:rsidRPr="076FFB4A">
              <w:rPr>
                <w:rFonts w:ascii="Times New Roman" w:eastAsia="Times New Roman" w:hAnsi="Times New Roman" w:cs="Times New Roman"/>
                <w:sz w:val="24"/>
                <w:szCs w:val="24"/>
              </w:rPr>
              <w:t>£301</w:t>
            </w:r>
          </w:p>
        </w:tc>
      </w:tr>
      <w:tr w:rsidR="76C0B922" w:rsidRPr="00E204F6" w14:paraId="1007C143" w14:textId="77777777" w:rsidTr="1EA10887">
        <w:trPr>
          <w:trHeight w:val="300"/>
        </w:trPr>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7B82C6A8" w14:textId="63FDF4CF" w:rsidR="76C0B922" w:rsidRPr="00E204F6" w:rsidRDefault="76C0B922"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Total PD costs</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13CFCA79" w14:textId="5F6245D0" w:rsidR="76C0B922" w:rsidRPr="00E204F6" w:rsidRDefault="363A3AB9" w:rsidP="1EA10887">
            <w:pPr>
              <w:spacing w:line="257" w:lineRule="auto"/>
              <w:rPr>
                <w:rFonts w:ascii="Times New Roman" w:eastAsia="Times New Roman" w:hAnsi="Times New Roman" w:cs="Times New Roman"/>
                <w:b/>
                <w:bCs/>
                <w:sz w:val="24"/>
                <w:szCs w:val="24"/>
              </w:rPr>
            </w:pPr>
            <w:r w:rsidRPr="1EA10887">
              <w:rPr>
                <w:rFonts w:ascii="Times New Roman" w:eastAsia="Times New Roman" w:hAnsi="Times New Roman" w:cs="Times New Roman"/>
                <w:b/>
                <w:bCs/>
                <w:sz w:val="24"/>
                <w:szCs w:val="24"/>
              </w:rPr>
              <w:t>£15,484</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05F5F45E" w14:textId="7CCA1334" w:rsidR="76C0B922" w:rsidRPr="00E204F6" w:rsidRDefault="363A3AB9" w:rsidP="1EA10887">
            <w:pPr>
              <w:spacing w:line="257" w:lineRule="auto"/>
              <w:rPr>
                <w:rFonts w:ascii="Times New Roman" w:eastAsia="Times New Roman" w:hAnsi="Times New Roman" w:cs="Times New Roman"/>
                <w:b/>
                <w:bCs/>
                <w:sz w:val="24"/>
                <w:szCs w:val="24"/>
              </w:rPr>
            </w:pPr>
            <w:r w:rsidRPr="1EA10887">
              <w:rPr>
                <w:rFonts w:ascii="Times New Roman" w:eastAsia="Times New Roman" w:hAnsi="Times New Roman" w:cs="Times New Roman"/>
                <w:b/>
                <w:bCs/>
                <w:sz w:val="24"/>
                <w:szCs w:val="24"/>
              </w:rPr>
              <w:t>£12,514</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1C462064" w14:textId="2D701B8D" w:rsidR="76C0B922" w:rsidRPr="00E204F6" w:rsidRDefault="363A3AB9" w:rsidP="1EA10887">
            <w:pPr>
              <w:spacing w:line="257" w:lineRule="auto"/>
              <w:rPr>
                <w:rFonts w:ascii="Times New Roman" w:eastAsia="Times New Roman" w:hAnsi="Times New Roman" w:cs="Times New Roman"/>
                <w:b/>
                <w:bCs/>
                <w:sz w:val="24"/>
                <w:szCs w:val="24"/>
              </w:rPr>
            </w:pPr>
            <w:r w:rsidRPr="1EA10887">
              <w:rPr>
                <w:rFonts w:ascii="Times New Roman" w:eastAsia="Times New Roman" w:hAnsi="Times New Roman" w:cs="Times New Roman"/>
                <w:b/>
                <w:bCs/>
                <w:sz w:val="24"/>
                <w:szCs w:val="24"/>
              </w:rPr>
              <w:t>£2,970</w:t>
            </w:r>
          </w:p>
        </w:tc>
      </w:tr>
      <w:tr w:rsidR="76C0B922" w:rsidRPr="00E204F6" w14:paraId="28C03453" w14:textId="77777777" w:rsidTr="1EA10887">
        <w:trPr>
          <w:trHeight w:val="300"/>
        </w:trPr>
        <w:tc>
          <w:tcPr>
            <w:tcW w:w="9345"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70" w:type="dxa"/>
              <w:left w:w="130" w:type="dxa"/>
              <w:bottom w:w="70" w:type="dxa"/>
              <w:right w:w="130" w:type="dxa"/>
            </w:tcMar>
          </w:tcPr>
          <w:p w14:paraId="5A7919EB" w14:textId="3B413DF0" w:rsidR="76C0B922" w:rsidRPr="00E204F6" w:rsidRDefault="76C0B922"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End-of-life costs</w:t>
            </w:r>
          </w:p>
        </w:tc>
      </w:tr>
      <w:tr w:rsidR="76C0B922" w:rsidRPr="00E204F6" w14:paraId="4DDBFF8D" w14:textId="77777777" w:rsidTr="1EA10887">
        <w:trPr>
          <w:trHeight w:val="300"/>
        </w:trPr>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29768525" w14:textId="4EA98086" w:rsidR="76C0B922" w:rsidRPr="00E204F6" w:rsidRDefault="76C0B922"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End-of-life costs</w:t>
            </w:r>
          </w:p>
        </w:tc>
        <w:tc>
          <w:tcPr>
            <w:tcW w:w="1815" w:type="dxa"/>
            <w:tcBorders>
              <w:top w:val="nil"/>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69A406F2" w14:textId="34ABB87F" w:rsidR="76C0B922" w:rsidRPr="00E204F6" w:rsidRDefault="76C0B922"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£6,039</w:t>
            </w:r>
          </w:p>
        </w:tc>
        <w:tc>
          <w:tcPr>
            <w:tcW w:w="1815" w:type="dxa"/>
            <w:tcBorders>
              <w:top w:val="nil"/>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2A494BEB" w14:textId="29DDD5C3" w:rsidR="76C0B922" w:rsidRPr="00E204F6" w:rsidRDefault="76C0B922"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£6,153</w:t>
            </w:r>
          </w:p>
        </w:tc>
        <w:tc>
          <w:tcPr>
            <w:tcW w:w="1815" w:type="dxa"/>
            <w:tcBorders>
              <w:top w:val="nil"/>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030E6A32" w14:textId="397841F7" w:rsidR="76C0B922" w:rsidRPr="00E204F6" w:rsidRDefault="76C0B922"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-£114</w:t>
            </w:r>
          </w:p>
        </w:tc>
      </w:tr>
      <w:tr w:rsidR="76C0B922" w:rsidRPr="00E204F6" w14:paraId="275B7D3B" w14:textId="77777777" w:rsidTr="1EA10887">
        <w:trPr>
          <w:trHeight w:val="300"/>
        </w:trPr>
        <w:tc>
          <w:tcPr>
            <w:tcW w:w="9345"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70" w:type="dxa"/>
              <w:left w:w="130" w:type="dxa"/>
              <w:bottom w:w="70" w:type="dxa"/>
              <w:right w:w="130" w:type="dxa"/>
            </w:tcMar>
          </w:tcPr>
          <w:p w14:paraId="138A5478" w14:textId="18197FC0" w:rsidR="76C0B922" w:rsidRPr="00E204F6" w:rsidRDefault="76C0B922"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Effects (discounted at 3.5%)</w:t>
            </w:r>
          </w:p>
        </w:tc>
      </w:tr>
      <w:tr w:rsidR="76C0B922" w:rsidRPr="00E204F6" w14:paraId="4FF162F4" w14:textId="77777777" w:rsidTr="1EA10887">
        <w:trPr>
          <w:trHeight w:val="300"/>
        </w:trPr>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4520BB3C" w14:textId="26E91064"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   LYs in SD</w:t>
            </w:r>
          </w:p>
        </w:tc>
        <w:tc>
          <w:tcPr>
            <w:tcW w:w="1815" w:type="dxa"/>
            <w:tcBorders>
              <w:top w:val="nil"/>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516B7F65" w14:textId="48E41669"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0.356</w:t>
            </w:r>
          </w:p>
        </w:tc>
        <w:tc>
          <w:tcPr>
            <w:tcW w:w="1815" w:type="dxa"/>
            <w:tcBorders>
              <w:top w:val="nil"/>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6E74D864" w14:textId="1411720C"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0.259</w:t>
            </w:r>
          </w:p>
        </w:tc>
        <w:tc>
          <w:tcPr>
            <w:tcW w:w="1815" w:type="dxa"/>
            <w:tcBorders>
              <w:top w:val="nil"/>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0BD2CCB8" w14:textId="32666CD7"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0.097</w:t>
            </w:r>
          </w:p>
        </w:tc>
      </w:tr>
      <w:tr w:rsidR="76C0B922" w:rsidRPr="00E204F6" w14:paraId="44695448" w14:textId="77777777" w:rsidTr="1EA10887">
        <w:trPr>
          <w:trHeight w:val="300"/>
        </w:trPr>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3779B9B9" w14:textId="2BDD14E9"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   LYs in PD</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5F7590D0" w14:textId="79D60FB2"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1.416</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563222D6" w14:textId="4CA60726"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1.087</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2E4CA943" w14:textId="715A7562"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0.329</w:t>
            </w:r>
          </w:p>
        </w:tc>
      </w:tr>
      <w:tr w:rsidR="76C0B922" w:rsidRPr="00E204F6" w14:paraId="312F2776" w14:textId="77777777" w:rsidTr="1EA10887">
        <w:trPr>
          <w:trHeight w:val="300"/>
        </w:trPr>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0E9902D4" w14:textId="74878178" w:rsidR="76C0B922" w:rsidRPr="00E204F6" w:rsidRDefault="76C0B922"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Total LYs</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322A3445" w14:textId="0BC1A324" w:rsidR="76C0B922" w:rsidRPr="00E204F6" w:rsidRDefault="76C0B922"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1.772</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21FFEDA9" w14:textId="68179F44" w:rsidR="76C0B922" w:rsidRPr="00E204F6" w:rsidRDefault="76C0B922"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1.346</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533DF713" w14:textId="08D02573" w:rsidR="76C0B922" w:rsidRPr="00E204F6" w:rsidRDefault="76C0B922"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0.426</w:t>
            </w:r>
          </w:p>
        </w:tc>
      </w:tr>
      <w:tr w:rsidR="76C0B922" w:rsidRPr="00E204F6" w14:paraId="352EAF70" w14:textId="77777777" w:rsidTr="1EA10887">
        <w:trPr>
          <w:trHeight w:val="300"/>
        </w:trPr>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708E06F4" w14:textId="180CCC32"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   QALYs in SD</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7EA3315A" w14:textId="6DB56887"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0.271</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19146CD1" w14:textId="3E114766"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0.195</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22B00948" w14:textId="7C88DC0C"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0.076</w:t>
            </w:r>
          </w:p>
        </w:tc>
      </w:tr>
      <w:tr w:rsidR="76C0B922" w:rsidRPr="00E204F6" w14:paraId="51243C9A" w14:textId="77777777" w:rsidTr="1EA10887">
        <w:trPr>
          <w:trHeight w:val="300"/>
        </w:trPr>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10F68940" w14:textId="7E547BE9"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   QALYs in PD</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50DC8FBC" w14:textId="5DDA491F"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0.888</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23D20A08" w14:textId="30F1592C"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0.681</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6BE7B711" w14:textId="7D8D553F"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0.207</w:t>
            </w:r>
          </w:p>
        </w:tc>
      </w:tr>
      <w:tr w:rsidR="76C0B922" w:rsidRPr="00E204F6" w14:paraId="28A6ED2B" w14:textId="77777777" w:rsidTr="1EA10887">
        <w:trPr>
          <w:trHeight w:val="300"/>
        </w:trPr>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1C2ACA44" w14:textId="603B797D"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 xml:space="preserve">   QALYs lost due to AEs</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1512EA57" w14:textId="3AF9F67E"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-0.004</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641F4ABF" w14:textId="5663D7D1"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-0.002</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39FE68AC" w14:textId="2DC8CF1D" w:rsidR="76C0B922" w:rsidRPr="00E204F6" w:rsidRDefault="76C0B922" w:rsidP="76C0B922">
            <w:pPr>
              <w:spacing w:line="257" w:lineRule="auto"/>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-0.002</w:t>
            </w:r>
          </w:p>
        </w:tc>
      </w:tr>
      <w:tr w:rsidR="76C0B922" w:rsidRPr="00E204F6" w14:paraId="30EEC6B4" w14:textId="77777777" w:rsidTr="1EA10887">
        <w:trPr>
          <w:trHeight w:val="300"/>
        </w:trPr>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5623D06C" w14:textId="2D76FAEC" w:rsidR="76C0B922" w:rsidRPr="00E204F6" w:rsidRDefault="76C0B922"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Total QALYs</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539C0C9D" w14:textId="4C81E926" w:rsidR="76C0B922" w:rsidRPr="00E204F6" w:rsidRDefault="76C0B922"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1.155</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4005EDFA" w14:textId="3BF0BE99" w:rsidR="76C0B922" w:rsidRPr="00E204F6" w:rsidRDefault="76C0B922"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0.874</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0" w:type="dxa"/>
              <w:left w:w="130" w:type="dxa"/>
              <w:bottom w:w="70" w:type="dxa"/>
              <w:right w:w="130" w:type="dxa"/>
            </w:tcMar>
            <w:vAlign w:val="center"/>
          </w:tcPr>
          <w:p w14:paraId="21D439E3" w14:textId="0F477670" w:rsidR="76C0B922" w:rsidRPr="00E204F6" w:rsidRDefault="76C0B922" w:rsidP="76C0B922">
            <w:pPr>
              <w:spacing w:line="257"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0.281</w:t>
            </w:r>
          </w:p>
        </w:tc>
      </w:tr>
    </w:tbl>
    <w:p w14:paraId="0A3A2132" w14:textId="46FC3471" w:rsidR="36E67947" w:rsidRPr="00E204F6" w:rsidRDefault="36E67947" w:rsidP="76C0B922">
      <w:pPr>
        <w:spacing w:before="80" w:after="400"/>
        <w:rPr>
          <w:rFonts w:ascii="Times New Roman" w:eastAsia="Times New Roman" w:hAnsi="Times New Roman" w:cs="Times New Roman"/>
          <w:i/>
          <w:iCs/>
          <w:sz w:val="20"/>
          <w:szCs w:val="20"/>
        </w:rPr>
      </w:pPr>
      <w:r w:rsidRPr="00E204F6">
        <w:rPr>
          <w:rFonts w:ascii="Times New Roman" w:eastAsia="Times New Roman" w:hAnsi="Times New Roman" w:cs="Times New Roman"/>
          <w:i/>
          <w:iCs/>
          <w:sz w:val="20"/>
          <w:szCs w:val="20"/>
        </w:rPr>
        <w:t>Abbreviations: SD = stable disease; PD = progressive disease; AE = adverse event; LY = life year; QALY = quality-adjusted life year.</w:t>
      </w:r>
    </w:p>
    <w:p w14:paraId="67B1C392" w14:textId="7AAA7B10" w:rsidR="621FFC9E" w:rsidRPr="00E204F6" w:rsidRDefault="621FFC9E" w:rsidP="30076135">
      <w:pPr>
        <w:pStyle w:val="Heading2"/>
        <w:rPr>
          <w:rFonts w:ascii="Times New Roman" w:eastAsia="Times New Roman" w:hAnsi="Times New Roman" w:cs="Times New Roman"/>
          <w:color w:val="auto"/>
          <w:sz w:val="28"/>
          <w:szCs w:val="28"/>
        </w:rPr>
      </w:pPr>
    </w:p>
    <w:p w14:paraId="45F12266" w14:textId="72E2C0E9" w:rsidR="621FFC9E" w:rsidRPr="00E204F6" w:rsidRDefault="621FFC9E" w:rsidP="30076135">
      <w:r>
        <w:br w:type="page"/>
      </w:r>
    </w:p>
    <w:p w14:paraId="29E883E0" w14:textId="74D3B07D" w:rsidR="621FFC9E" w:rsidRPr="00E204F6" w:rsidRDefault="621FFC9E" w:rsidP="76C0B922">
      <w:pPr>
        <w:pStyle w:val="Heading2"/>
        <w:rPr>
          <w:rFonts w:ascii="Times New Roman" w:eastAsia="Times New Roman" w:hAnsi="Times New Roman" w:cs="Times New Roman"/>
          <w:color w:val="auto"/>
          <w:sz w:val="28"/>
          <w:szCs w:val="28"/>
        </w:rPr>
      </w:pPr>
      <w:bookmarkStart w:id="9" w:name="_Toc2001221467"/>
      <w:r w:rsidRPr="30076135">
        <w:rPr>
          <w:rFonts w:ascii="Times New Roman" w:eastAsia="Times New Roman" w:hAnsi="Times New Roman" w:cs="Times New Roman"/>
          <w:color w:val="auto"/>
          <w:sz w:val="28"/>
          <w:szCs w:val="28"/>
        </w:rPr>
        <w:lastRenderedPageBreak/>
        <w:t xml:space="preserve">PROBABILISTIC </w:t>
      </w:r>
      <w:r w:rsidR="00E204F6" w:rsidRPr="30076135">
        <w:rPr>
          <w:rFonts w:ascii="Times New Roman" w:eastAsia="Times New Roman" w:hAnsi="Times New Roman" w:cs="Times New Roman"/>
          <w:color w:val="auto"/>
          <w:sz w:val="28"/>
          <w:szCs w:val="28"/>
        </w:rPr>
        <w:t>SENSITIVITY</w:t>
      </w:r>
      <w:r w:rsidRPr="30076135">
        <w:rPr>
          <w:rFonts w:ascii="Times New Roman" w:eastAsia="Times New Roman" w:hAnsi="Times New Roman" w:cs="Times New Roman"/>
          <w:color w:val="auto"/>
          <w:sz w:val="28"/>
          <w:szCs w:val="28"/>
        </w:rPr>
        <w:t xml:space="preserve"> </w:t>
      </w:r>
      <w:r w:rsidR="285C74CA" w:rsidRPr="30076135">
        <w:rPr>
          <w:rFonts w:ascii="Times New Roman" w:eastAsia="Times New Roman" w:hAnsi="Times New Roman" w:cs="Times New Roman"/>
          <w:color w:val="auto"/>
          <w:sz w:val="28"/>
          <w:szCs w:val="28"/>
        </w:rPr>
        <w:t>ANALYSIS RESULTS</w:t>
      </w:r>
      <w:bookmarkEnd w:id="9"/>
    </w:p>
    <w:p w14:paraId="49331EB2" w14:textId="581F0AF2" w:rsidR="5791627B" w:rsidRPr="00E204F6" w:rsidRDefault="5791627B" w:rsidP="76C0B922">
      <w:pPr>
        <w:rPr>
          <w:rFonts w:ascii="Times New Roman" w:eastAsia="Times New Roman" w:hAnsi="Times New Roman" w:cs="Times New Roman"/>
          <w:sz w:val="24"/>
          <w:szCs w:val="24"/>
        </w:rPr>
      </w:pPr>
      <w:r w:rsidRPr="67F336A8">
        <w:rPr>
          <w:rFonts w:ascii="Times New Roman" w:eastAsia="Times New Roman" w:hAnsi="Times New Roman" w:cs="Times New Roman"/>
          <w:sz w:val="24"/>
          <w:szCs w:val="24"/>
        </w:rPr>
        <w:t xml:space="preserve">The results of the </w:t>
      </w:r>
      <w:r w:rsidR="3CDD12F4" w:rsidRPr="67F336A8">
        <w:rPr>
          <w:rFonts w:ascii="Times New Roman" w:eastAsia="Times New Roman" w:hAnsi="Times New Roman" w:cs="Times New Roman"/>
          <w:sz w:val="24"/>
          <w:szCs w:val="24"/>
        </w:rPr>
        <w:t xml:space="preserve">PSA, based on 1,000 simulations, are presented in </w:t>
      </w:r>
      <w:r w:rsidR="3A510701" w:rsidRPr="67F336A8">
        <w:rPr>
          <w:rFonts w:ascii="Times New Roman" w:eastAsia="Times New Roman" w:hAnsi="Times New Roman" w:cs="Times New Roman"/>
          <w:sz w:val="24"/>
          <w:szCs w:val="24"/>
        </w:rPr>
        <w:t>Table</w:t>
      </w:r>
      <w:r w:rsidR="3CDD12F4" w:rsidRPr="67F336A8">
        <w:rPr>
          <w:rFonts w:ascii="Times New Roman" w:eastAsia="Times New Roman" w:hAnsi="Times New Roman" w:cs="Times New Roman"/>
          <w:sz w:val="24"/>
          <w:szCs w:val="24"/>
        </w:rPr>
        <w:t xml:space="preserve"> </w:t>
      </w:r>
      <w:r w:rsidR="6A568930" w:rsidRPr="67F336A8">
        <w:rPr>
          <w:rFonts w:ascii="Times New Roman" w:eastAsia="Times New Roman" w:hAnsi="Times New Roman" w:cs="Times New Roman"/>
          <w:sz w:val="24"/>
          <w:szCs w:val="24"/>
        </w:rPr>
        <w:t>17</w:t>
      </w:r>
      <w:r w:rsidR="3CDD12F4" w:rsidRPr="67F336A8">
        <w:rPr>
          <w:rFonts w:ascii="Times New Roman" w:eastAsia="Times New Roman" w:hAnsi="Times New Roman" w:cs="Times New Roman"/>
          <w:sz w:val="24"/>
          <w:szCs w:val="24"/>
        </w:rPr>
        <w:t xml:space="preserve">. Mean total discounted costs were £28,778 for </w:t>
      </w:r>
      <w:r w:rsidR="77EA56D4" w:rsidRPr="67F336A8">
        <w:rPr>
          <w:rFonts w:ascii="Times New Roman" w:eastAsia="Times New Roman" w:hAnsi="Times New Roman" w:cs="Times New Roman"/>
          <w:sz w:val="24"/>
          <w:szCs w:val="24"/>
        </w:rPr>
        <w:t>Cabazitaxel</w:t>
      </w:r>
      <w:r w:rsidR="3CDD12F4" w:rsidRPr="67F336A8">
        <w:rPr>
          <w:rFonts w:ascii="Times New Roman" w:eastAsia="Times New Roman" w:hAnsi="Times New Roman" w:cs="Times New Roman"/>
          <w:sz w:val="24"/>
          <w:szCs w:val="24"/>
        </w:rPr>
        <w:t xml:space="preserve"> and £24,190 for </w:t>
      </w:r>
      <w:r w:rsidR="2E1C6553" w:rsidRPr="67F336A8">
        <w:rPr>
          <w:rFonts w:ascii="Times New Roman" w:eastAsia="Times New Roman" w:hAnsi="Times New Roman" w:cs="Times New Roman"/>
          <w:sz w:val="24"/>
          <w:szCs w:val="24"/>
        </w:rPr>
        <w:t>Mitoxantrone</w:t>
      </w:r>
      <w:r w:rsidR="3CDD12F4" w:rsidRPr="67F336A8">
        <w:rPr>
          <w:rFonts w:ascii="Times New Roman" w:eastAsia="Times New Roman" w:hAnsi="Times New Roman" w:cs="Times New Roman"/>
          <w:sz w:val="24"/>
          <w:szCs w:val="24"/>
        </w:rPr>
        <w:t xml:space="preserve">, resulting in mean incremental costs of £4,588. Mean total discounted QALYs were 1.157 for </w:t>
      </w:r>
      <w:r w:rsidR="77EA56D4" w:rsidRPr="67F336A8">
        <w:rPr>
          <w:rFonts w:ascii="Times New Roman" w:eastAsia="Times New Roman" w:hAnsi="Times New Roman" w:cs="Times New Roman"/>
          <w:sz w:val="24"/>
          <w:szCs w:val="24"/>
        </w:rPr>
        <w:t>Cabazitaxel</w:t>
      </w:r>
      <w:r w:rsidR="3CDD12F4" w:rsidRPr="67F336A8">
        <w:rPr>
          <w:rFonts w:ascii="Times New Roman" w:eastAsia="Times New Roman" w:hAnsi="Times New Roman" w:cs="Times New Roman"/>
          <w:sz w:val="24"/>
          <w:szCs w:val="24"/>
        </w:rPr>
        <w:t xml:space="preserve"> and 0.876 for </w:t>
      </w:r>
      <w:r w:rsidR="2E1C6553" w:rsidRPr="67F336A8">
        <w:rPr>
          <w:rFonts w:ascii="Times New Roman" w:eastAsia="Times New Roman" w:hAnsi="Times New Roman" w:cs="Times New Roman"/>
          <w:sz w:val="24"/>
          <w:szCs w:val="24"/>
        </w:rPr>
        <w:t>Mitoxantrone</w:t>
      </w:r>
      <w:r w:rsidR="3CDD12F4" w:rsidRPr="67F336A8">
        <w:rPr>
          <w:rFonts w:ascii="Times New Roman" w:eastAsia="Times New Roman" w:hAnsi="Times New Roman" w:cs="Times New Roman"/>
          <w:sz w:val="24"/>
          <w:szCs w:val="24"/>
        </w:rPr>
        <w:t>, resulting in an incremental gain of 0.28 QALYs. The probabilistic ICER was £16,308 per QALY gained and £10,743 per LY gained. These values are consistent with the deterministic base-case results (ICER: £16,253 per QALY gained).</w:t>
      </w:r>
      <w:r w:rsidR="0359B3F1" w:rsidRPr="67F336A8">
        <w:rPr>
          <w:rFonts w:ascii="Times New Roman" w:eastAsia="Times New Roman" w:hAnsi="Times New Roman" w:cs="Times New Roman"/>
          <w:sz w:val="24"/>
          <w:szCs w:val="24"/>
        </w:rPr>
        <w:t xml:space="preserve"> </w:t>
      </w:r>
    </w:p>
    <w:p w14:paraId="2481A4F6" w14:textId="44985961" w:rsidR="3A510701" w:rsidRPr="00764795" w:rsidRDefault="3A510701" w:rsidP="76C0B922">
      <w:pPr>
        <w:spacing w:after="100"/>
        <w:rPr>
          <w:rFonts w:ascii="Times New Roman" w:eastAsia="Times New Roman" w:hAnsi="Times New Roman" w:cs="Times New Roman"/>
          <w:b/>
          <w:bCs/>
          <w:sz w:val="24"/>
          <w:szCs w:val="24"/>
        </w:rPr>
      </w:pPr>
      <w:r>
        <w:rPr>
          <w:noProof/>
        </w:rPr>
        <w:drawing>
          <wp:anchor distT="0" distB="0" distL="114300" distR="114300" simplePos="0" relativeHeight="251658240" behindDoc="0" locked="0" layoutInCell="1" allowOverlap="1" wp14:anchorId="4466A20B" wp14:editId="178E56D5">
            <wp:simplePos x="0" y="0"/>
            <wp:positionH relativeFrom="column">
              <wp:posOffset>-9525</wp:posOffset>
            </wp:positionH>
            <wp:positionV relativeFrom="paragraph">
              <wp:posOffset>390525</wp:posOffset>
            </wp:positionV>
            <wp:extent cx="5093087" cy="1794258"/>
            <wp:effectExtent l="0" t="0" r="0" b="0"/>
            <wp:wrapNone/>
            <wp:docPr id="368048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048002" name=""/>
                    <pic:cNvPicPr/>
                  </pic:nvPicPr>
                  <pic:blipFill>
                    <a:blip r:embed="rId26"/>
                    <a:stretch>
                      <a:fillRect/>
                    </a:stretch>
                  </pic:blipFill>
                  <pic:spPr>
                    <a:xfrm>
                      <a:off x="0" y="0"/>
                      <a:ext cx="5093087" cy="1794258"/>
                    </a:xfrm>
                    <a:prstGeom prst="rect">
                      <a:avLst/>
                    </a:prstGeom>
                  </pic:spPr>
                </pic:pic>
              </a:graphicData>
            </a:graphic>
            <wp14:sizeRelH relativeFrom="page">
              <wp14:pctWidth>0</wp14:pctWidth>
            </wp14:sizeRelH>
            <wp14:sizeRelV relativeFrom="page">
              <wp14:pctHeight>0</wp14:pctHeight>
            </wp14:sizeRelV>
          </wp:anchor>
        </w:drawing>
      </w:r>
      <w:r w:rsidRPr="67F336A8">
        <w:rPr>
          <w:rFonts w:ascii="Times New Roman" w:eastAsia="Times New Roman" w:hAnsi="Times New Roman" w:cs="Times New Roman"/>
          <w:b/>
          <w:bCs/>
          <w:sz w:val="24"/>
          <w:szCs w:val="24"/>
        </w:rPr>
        <w:t>Table</w:t>
      </w:r>
      <w:r w:rsidR="53F97E34" w:rsidRPr="67F336A8">
        <w:rPr>
          <w:rFonts w:ascii="Times New Roman" w:eastAsia="Times New Roman" w:hAnsi="Times New Roman" w:cs="Times New Roman"/>
          <w:b/>
          <w:bCs/>
          <w:sz w:val="24"/>
          <w:szCs w:val="24"/>
        </w:rPr>
        <w:t xml:space="preserve"> </w:t>
      </w:r>
      <w:r w:rsidR="04A278AE" w:rsidRPr="67F336A8">
        <w:rPr>
          <w:rFonts w:ascii="Times New Roman" w:eastAsia="Times New Roman" w:hAnsi="Times New Roman" w:cs="Times New Roman"/>
          <w:b/>
          <w:bCs/>
          <w:sz w:val="24"/>
          <w:szCs w:val="24"/>
        </w:rPr>
        <w:t>1</w:t>
      </w:r>
      <w:r w:rsidR="2479BC05" w:rsidRPr="67F336A8">
        <w:rPr>
          <w:rFonts w:ascii="Times New Roman" w:eastAsia="Times New Roman" w:hAnsi="Times New Roman" w:cs="Times New Roman"/>
          <w:b/>
          <w:bCs/>
          <w:sz w:val="24"/>
          <w:szCs w:val="24"/>
        </w:rPr>
        <w:t>7</w:t>
      </w:r>
      <w:r w:rsidR="53F97E34" w:rsidRPr="67F336A8">
        <w:rPr>
          <w:rFonts w:ascii="Times New Roman" w:eastAsia="Times New Roman" w:hAnsi="Times New Roman" w:cs="Times New Roman"/>
          <w:b/>
          <w:bCs/>
          <w:sz w:val="24"/>
          <w:szCs w:val="24"/>
        </w:rPr>
        <w:t xml:space="preserve">. </w:t>
      </w:r>
      <w:r w:rsidR="53F97E34" w:rsidRPr="67F336A8">
        <w:rPr>
          <w:rFonts w:ascii="Times New Roman" w:eastAsia="Times New Roman" w:hAnsi="Times New Roman" w:cs="Times New Roman"/>
          <w:sz w:val="24"/>
          <w:szCs w:val="24"/>
        </w:rPr>
        <w:t>Probabilistic sensitivity analysis results: mean discounted costs and effects per patient (1,000 simulations).</w:t>
      </w:r>
    </w:p>
    <w:p w14:paraId="425BA90F" w14:textId="6593570D" w:rsidR="0061473B" w:rsidRDefault="0061473B" w:rsidP="76C0B922">
      <w:pPr>
        <w:spacing w:after="100"/>
      </w:pPr>
    </w:p>
    <w:p w14:paraId="654EEC41" w14:textId="5DE51F44" w:rsidR="67F336A8" w:rsidRDefault="67F336A8" w:rsidP="67F336A8">
      <w:pPr>
        <w:spacing w:after="100"/>
      </w:pPr>
    </w:p>
    <w:p w14:paraId="311CABDD" w14:textId="1A4940B5" w:rsidR="67F336A8" w:rsidRDefault="67F336A8" w:rsidP="67F336A8">
      <w:pPr>
        <w:spacing w:after="100"/>
      </w:pPr>
    </w:p>
    <w:p w14:paraId="4D532E74" w14:textId="4A82FB02" w:rsidR="67F336A8" w:rsidRDefault="67F336A8" w:rsidP="67F336A8">
      <w:pPr>
        <w:spacing w:after="100"/>
      </w:pPr>
    </w:p>
    <w:p w14:paraId="72E929D7" w14:textId="7E69D444" w:rsidR="67F336A8" w:rsidRDefault="67F336A8" w:rsidP="67F336A8">
      <w:pPr>
        <w:spacing w:after="100"/>
      </w:pPr>
    </w:p>
    <w:p w14:paraId="1EE74A80" w14:textId="28DE5377" w:rsidR="67F336A8" w:rsidRDefault="67F336A8" w:rsidP="67F336A8">
      <w:pPr>
        <w:spacing w:after="100"/>
      </w:pPr>
    </w:p>
    <w:p w14:paraId="62467572" w14:textId="17BDFBD1" w:rsidR="67F336A8" w:rsidRDefault="67F336A8" w:rsidP="67F336A8">
      <w:pPr>
        <w:spacing w:after="100"/>
      </w:pPr>
    </w:p>
    <w:p w14:paraId="2F29B4CD" w14:textId="1B6C25C4" w:rsidR="53F97E34" w:rsidRPr="00E204F6" w:rsidRDefault="53F97E34" w:rsidP="76C0B922">
      <w:pPr>
        <w:spacing w:before="80" w:after="200"/>
        <w:rPr>
          <w:rFonts w:ascii="Times New Roman" w:eastAsia="Times New Roman" w:hAnsi="Times New Roman" w:cs="Times New Roman"/>
          <w:i/>
          <w:iCs/>
          <w:sz w:val="20"/>
          <w:szCs w:val="20"/>
        </w:rPr>
      </w:pPr>
      <w:r w:rsidRPr="00E204F6">
        <w:rPr>
          <w:rFonts w:ascii="Times New Roman" w:eastAsia="Times New Roman" w:hAnsi="Times New Roman" w:cs="Times New Roman"/>
          <w:i/>
          <w:iCs/>
          <w:sz w:val="20"/>
          <w:szCs w:val="20"/>
        </w:rPr>
        <w:t>Abbreviations: LY, life year; QALY, quality-adjusted life year; ICER, incremental cost-effectiveness ratio. All costs in 2023/2024 GBP, discounted at 3.5% per year.</w:t>
      </w:r>
      <w:r w:rsidR="484B7436" w:rsidRPr="00E204F6">
        <w:rPr>
          <w:rFonts w:ascii="Times New Roman" w:eastAsia="Times New Roman" w:hAnsi="Times New Roman" w:cs="Times New Roman"/>
          <w:i/>
          <w:iCs/>
          <w:sz w:val="20"/>
          <w:szCs w:val="20"/>
        </w:rPr>
        <w:t xml:space="preserve"> </w:t>
      </w:r>
    </w:p>
    <w:p w14:paraId="013EBB2F" w14:textId="3628B2DC" w:rsidR="2E90EA3A" w:rsidRDefault="2E90EA3A" w:rsidP="76C0B922">
      <w:pPr>
        <w:rPr>
          <w:rFonts w:ascii="Times New Roman" w:eastAsia="Times New Roman" w:hAnsi="Times New Roman" w:cs="Times New Roman"/>
          <w:sz w:val="24"/>
          <w:szCs w:val="24"/>
        </w:rPr>
      </w:pPr>
      <w:r w:rsidRPr="00E204F6">
        <w:rPr>
          <w:rFonts w:ascii="Times New Roman" w:eastAsia="Times New Roman" w:hAnsi="Times New Roman" w:cs="Times New Roman"/>
          <w:sz w:val="24"/>
          <w:szCs w:val="24"/>
        </w:rPr>
        <w:t>Figure</w:t>
      </w:r>
      <w:r w:rsidR="08984F15" w:rsidRPr="00E204F6">
        <w:rPr>
          <w:rFonts w:ascii="Times New Roman" w:eastAsia="Times New Roman" w:hAnsi="Times New Roman" w:cs="Times New Roman"/>
          <w:sz w:val="24"/>
          <w:szCs w:val="24"/>
        </w:rPr>
        <w:t xml:space="preserve"> </w:t>
      </w:r>
      <w:r w:rsidR="1F19EE06" w:rsidRPr="00E204F6">
        <w:rPr>
          <w:rFonts w:ascii="Times New Roman" w:eastAsia="Times New Roman" w:hAnsi="Times New Roman" w:cs="Times New Roman"/>
          <w:sz w:val="24"/>
          <w:szCs w:val="24"/>
        </w:rPr>
        <w:t>2</w:t>
      </w:r>
      <w:r w:rsidR="08984F15" w:rsidRPr="00E204F6">
        <w:rPr>
          <w:rFonts w:ascii="Times New Roman" w:eastAsia="Times New Roman" w:hAnsi="Times New Roman" w:cs="Times New Roman"/>
          <w:sz w:val="24"/>
          <w:szCs w:val="24"/>
        </w:rPr>
        <w:t xml:space="preserve"> presents the cost-effectiveness plane from the PSA. All 1,000 simulations are located in the north-east quadrant, indicating that Cabazitaxel plus Prednisone is associated with higher costs and greater health benefits compared to Mitoxantrone plus Prednisone across all iterations. The simulation points form a narrow, linear cluster, suggesting limited variability in the direction of the incremental costs and effects.</w:t>
      </w:r>
    </w:p>
    <w:p w14:paraId="7920213F" w14:textId="77777777" w:rsidR="00615CCF" w:rsidRPr="00E204F6" w:rsidRDefault="00615CCF" w:rsidP="76C0B922">
      <w:pPr>
        <w:rPr>
          <w:rFonts w:ascii="Times New Roman" w:hAnsi="Times New Roman" w:cs="Times New Roman"/>
        </w:rPr>
      </w:pPr>
    </w:p>
    <w:p w14:paraId="59E4D194" w14:textId="77BE7ECA" w:rsidR="02F96562" w:rsidRPr="00E204F6" w:rsidRDefault="02F96562" w:rsidP="76C0B922">
      <w:pPr>
        <w:rPr>
          <w:rFonts w:ascii="Times New Roman" w:hAnsi="Times New Roman" w:cs="Times New Roman"/>
        </w:rPr>
      </w:pPr>
      <w:r>
        <w:rPr>
          <w:noProof/>
        </w:rPr>
        <w:drawing>
          <wp:inline distT="0" distB="0" distL="0" distR="0" wp14:anchorId="3A3E8463" wp14:editId="2A878057">
            <wp:extent cx="5144657" cy="2695630"/>
            <wp:effectExtent l="0" t="0" r="0" b="0"/>
            <wp:docPr id="7640228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022837" name="Picture 764022837"/>
                    <pic:cNvPicPr/>
                  </pic:nvPicPr>
                  <pic:blipFill>
                    <a:blip r:embed="rId27">
                      <a:extLst>
                        <a:ext uri="{28A0092B-C50C-407E-A947-70E740481C1C}">
                          <a14:useLocalDpi xmlns:a14="http://schemas.microsoft.com/office/drawing/2010/main"/>
                        </a:ext>
                      </a:extLst>
                    </a:blip>
                    <a:stretch>
                      <a:fillRect/>
                    </a:stretch>
                  </pic:blipFill>
                  <pic:spPr>
                    <a:xfrm>
                      <a:off x="0" y="0"/>
                      <a:ext cx="5144657" cy="2695630"/>
                    </a:xfrm>
                    <a:prstGeom prst="rect">
                      <a:avLst/>
                    </a:prstGeom>
                  </pic:spPr>
                </pic:pic>
              </a:graphicData>
            </a:graphic>
          </wp:inline>
        </w:drawing>
      </w:r>
    </w:p>
    <w:p w14:paraId="666E7CA8" w14:textId="77777777" w:rsidR="004935C2" w:rsidRPr="00E204F6" w:rsidRDefault="004935C2" w:rsidP="004935C2">
      <w:pPr>
        <w:rPr>
          <w:rFonts w:ascii="Times New Roman" w:eastAsia="Times New Roman" w:hAnsi="Times New Roman" w:cs="Times New Roman"/>
          <w:sz w:val="24"/>
          <w:szCs w:val="24"/>
        </w:rPr>
      </w:pPr>
      <w:r w:rsidRPr="63CA316A">
        <w:rPr>
          <w:rFonts w:ascii="Times New Roman" w:eastAsia="Times New Roman" w:hAnsi="Times New Roman" w:cs="Times New Roman"/>
          <w:b/>
          <w:bCs/>
          <w:sz w:val="24"/>
          <w:szCs w:val="24"/>
        </w:rPr>
        <w:t xml:space="preserve">Figure 2. </w:t>
      </w:r>
      <w:r w:rsidRPr="63CA316A">
        <w:rPr>
          <w:rFonts w:ascii="Times New Roman" w:eastAsia="Times New Roman" w:hAnsi="Times New Roman" w:cs="Times New Roman"/>
          <w:sz w:val="24"/>
          <w:szCs w:val="24"/>
        </w:rPr>
        <w:t xml:space="preserve">Cost-effectiveness plane from the probabilistic sensitivity analysis (1,000 simulations): </w:t>
      </w:r>
      <w:proofErr w:type="spellStart"/>
      <w:r w:rsidRPr="63CA316A">
        <w:rPr>
          <w:rFonts w:ascii="Times New Roman" w:eastAsia="Times New Roman" w:hAnsi="Times New Roman" w:cs="Times New Roman"/>
          <w:sz w:val="24"/>
          <w:szCs w:val="24"/>
        </w:rPr>
        <w:t>Cabazitaxel</w:t>
      </w:r>
      <w:proofErr w:type="spellEnd"/>
      <w:r w:rsidRPr="63CA316A">
        <w:rPr>
          <w:rFonts w:ascii="Times New Roman" w:eastAsia="Times New Roman" w:hAnsi="Times New Roman" w:cs="Times New Roman"/>
          <w:sz w:val="24"/>
          <w:szCs w:val="24"/>
        </w:rPr>
        <w:t xml:space="preserve"> plus Prednisone versus Mitoxantrone plus Prednisone.</w:t>
      </w:r>
    </w:p>
    <w:p w14:paraId="1017BDB6" w14:textId="632819A0" w:rsidR="2EE416AB" w:rsidRDefault="3B32A813" w:rsidP="7FAA10AF">
      <w:pPr>
        <w:rPr>
          <w:rFonts w:ascii="Times New Roman" w:hAnsi="Times New Roman" w:cs="Times New Roman"/>
        </w:rPr>
      </w:pPr>
      <w:r w:rsidRPr="7FAA10AF">
        <w:rPr>
          <w:rFonts w:ascii="Times New Roman" w:eastAsia="Times New Roman" w:hAnsi="Times New Roman" w:cs="Times New Roman"/>
          <w:sz w:val="24"/>
          <w:szCs w:val="24"/>
        </w:rPr>
        <w:lastRenderedPageBreak/>
        <w:t xml:space="preserve">Figure </w:t>
      </w:r>
      <w:r w:rsidR="4942CCF6" w:rsidRPr="7FAA10AF">
        <w:rPr>
          <w:rFonts w:ascii="Times New Roman" w:eastAsia="Times New Roman" w:hAnsi="Times New Roman" w:cs="Times New Roman"/>
          <w:sz w:val="24"/>
          <w:szCs w:val="24"/>
        </w:rPr>
        <w:t>3</w:t>
      </w:r>
      <w:r w:rsidRPr="7FAA10AF">
        <w:rPr>
          <w:rFonts w:ascii="Times New Roman" w:eastAsia="Times New Roman" w:hAnsi="Times New Roman" w:cs="Times New Roman"/>
          <w:sz w:val="24"/>
          <w:szCs w:val="24"/>
        </w:rPr>
        <w:t xml:space="preserve"> presents a Cost-effectiveness Acceptability Curve (CEAC) for Cabazitaxel plus Prednisone compared to Mitoxantrone plus Prednisone. The x-axis displays the threshold Incremental Cost-effectiveness Ratio (ICER), ranging from 0 to 80,000. The y-axis shows the probability that Cabazitaxel plus Prednisone is cost-effective compared to the comparator, on a scale from 0.00 to 1.00. The curve rises steeply between a threshold of approximately £15,000 and £20,000, after which it levels off at a value close to 1.00.</w:t>
      </w:r>
    </w:p>
    <w:p w14:paraId="12404AC7" w14:textId="1221DF64" w:rsidR="31532C8A" w:rsidRPr="00E204F6" w:rsidRDefault="004935C2" w:rsidP="76C0B922">
      <w:r>
        <w:rPr>
          <w:noProof/>
        </w:rPr>
        <w:drawing>
          <wp:anchor distT="0" distB="0" distL="114300" distR="114300" simplePos="0" relativeHeight="251658241" behindDoc="0" locked="0" layoutInCell="1" allowOverlap="1" wp14:anchorId="52BBEB20" wp14:editId="36492B9E">
            <wp:simplePos x="0" y="0"/>
            <wp:positionH relativeFrom="column">
              <wp:posOffset>-6809</wp:posOffset>
            </wp:positionH>
            <wp:positionV relativeFrom="paragraph">
              <wp:posOffset>265562</wp:posOffset>
            </wp:positionV>
            <wp:extent cx="5281160" cy="2767154"/>
            <wp:effectExtent l="0" t="0" r="0" b="0"/>
            <wp:wrapNone/>
            <wp:docPr id="11708636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119537" name="Picture 1543119537"/>
                    <pic:cNvPicPr/>
                  </pic:nvPicPr>
                  <pic:blipFill>
                    <a:blip r:embed="rId28">
                      <a:extLst>
                        <a:ext uri="{28A0092B-C50C-407E-A947-70E740481C1C}">
                          <a14:useLocalDpi xmlns:a14="http://schemas.microsoft.com/office/drawing/2010/main"/>
                        </a:ext>
                      </a:extLst>
                    </a:blip>
                    <a:stretch>
                      <a:fillRect/>
                    </a:stretch>
                  </pic:blipFill>
                  <pic:spPr>
                    <a:xfrm>
                      <a:off x="0" y="0"/>
                      <a:ext cx="5281160" cy="2767154"/>
                    </a:xfrm>
                    <a:prstGeom prst="rect">
                      <a:avLst/>
                    </a:prstGeom>
                  </pic:spPr>
                </pic:pic>
              </a:graphicData>
            </a:graphic>
            <wp14:sizeRelH relativeFrom="page">
              <wp14:pctWidth>0</wp14:pctWidth>
            </wp14:sizeRelH>
            <wp14:sizeRelV relativeFrom="page">
              <wp14:pctHeight>0</wp14:pctHeight>
            </wp14:sizeRelV>
          </wp:anchor>
        </w:drawing>
      </w:r>
    </w:p>
    <w:p w14:paraId="2FCE6577" w14:textId="4FC6A12B" w:rsidR="5B4D7489" w:rsidRDefault="5B4D7489" w:rsidP="497317B3">
      <w:pPr>
        <w:pStyle w:val="Heading2"/>
        <w:rPr>
          <w:rFonts w:ascii="Times New Roman" w:eastAsia="Times New Roman" w:hAnsi="Times New Roman" w:cs="Times New Roman"/>
          <w:color w:val="auto"/>
          <w:sz w:val="28"/>
          <w:szCs w:val="28"/>
        </w:rPr>
      </w:pPr>
    </w:p>
    <w:p w14:paraId="0A5276B3" w14:textId="77777777" w:rsidR="004935C2" w:rsidRDefault="004935C2" w:rsidP="004935C2"/>
    <w:p w14:paraId="5EBA9DD3" w14:textId="77777777" w:rsidR="004935C2" w:rsidRDefault="004935C2" w:rsidP="004935C2"/>
    <w:p w14:paraId="5E548722" w14:textId="77777777" w:rsidR="004935C2" w:rsidRDefault="004935C2" w:rsidP="004935C2"/>
    <w:p w14:paraId="4D03C1A9" w14:textId="77777777" w:rsidR="004935C2" w:rsidRDefault="004935C2" w:rsidP="004935C2"/>
    <w:p w14:paraId="5F342FEA" w14:textId="77777777" w:rsidR="004935C2" w:rsidRDefault="004935C2" w:rsidP="004935C2"/>
    <w:p w14:paraId="74025134" w14:textId="77777777" w:rsidR="004935C2" w:rsidRDefault="004935C2" w:rsidP="004935C2"/>
    <w:p w14:paraId="3FACE181" w14:textId="77777777" w:rsidR="004935C2" w:rsidRDefault="004935C2" w:rsidP="004935C2"/>
    <w:p w14:paraId="3C3E4D4C" w14:textId="77777777" w:rsidR="004935C2" w:rsidRDefault="004935C2" w:rsidP="004935C2"/>
    <w:p w14:paraId="48DDA10C" w14:textId="77777777" w:rsidR="004935C2" w:rsidRPr="004935C2" w:rsidRDefault="004935C2" w:rsidP="004935C2"/>
    <w:p w14:paraId="730A57D6" w14:textId="705789A1" w:rsidR="5B4D7489" w:rsidRDefault="004935C2" w:rsidP="497317B3">
      <w:r w:rsidRPr="497317B3">
        <w:rPr>
          <w:rFonts w:ascii="Times New Roman" w:eastAsia="Times New Roman" w:hAnsi="Times New Roman" w:cs="Times New Roman"/>
          <w:b/>
          <w:bCs/>
          <w:sz w:val="24"/>
          <w:szCs w:val="24"/>
        </w:rPr>
        <w:t xml:space="preserve">Figure 3. </w:t>
      </w:r>
      <w:r w:rsidRPr="63CA316A">
        <w:rPr>
          <w:rFonts w:ascii="Times New Roman" w:eastAsia="Times New Roman" w:hAnsi="Times New Roman" w:cs="Times New Roman"/>
          <w:sz w:val="24"/>
          <w:szCs w:val="24"/>
        </w:rPr>
        <w:t xml:space="preserve">Cost-effectiveness acceptability curve (CEAC): probability of </w:t>
      </w:r>
      <w:proofErr w:type="spellStart"/>
      <w:r w:rsidRPr="63CA316A">
        <w:rPr>
          <w:rFonts w:ascii="Times New Roman" w:eastAsia="Times New Roman" w:hAnsi="Times New Roman" w:cs="Times New Roman"/>
          <w:sz w:val="24"/>
          <w:szCs w:val="24"/>
        </w:rPr>
        <w:t>Cabazitaxel</w:t>
      </w:r>
      <w:proofErr w:type="spellEnd"/>
      <w:r w:rsidRPr="63CA316A">
        <w:rPr>
          <w:rFonts w:ascii="Times New Roman" w:eastAsia="Times New Roman" w:hAnsi="Times New Roman" w:cs="Times New Roman"/>
          <w:sz w:val="24"/>
          <w:szCs w:val="24"/>
        </w:rPr>
        <w:t xml:space="preserve"> plus Prednisone being cost-effective compared to Mitoxantrone plus Prednisone across WTP thresholds</w:t>
      </w:r>
      <w:r>
        <w:t xml:space="preserve"> </w:t>
      </w:r>
      <w:r w:rsidR="5B4D7489">
        <w:br w:type="page"/>
      </w:r>
    </w:p>
    <w:p w14:paraId="171E0AFF" w14:textId="4405F0D1" w:rsidR="5B4D7489" w:rsidRPr="00E204F6" w:rsidRDefault="5B4D7489" w:rsidP="76C0B922">
      <w:pPr>
        <w:pStyle w:val="Heading2"/>
        <w:rPr>
          <w:rFonts w:ascii="Times New Roman" w:eastAsia="Times New Roman" w:hAnsi="Times New Roman" w:cs="Times New Roman"/>
          <w:color w:val="auto"/>
          <w:sz w:val="28"/>
          <w:szCs w:val="28"/>
        </w:rPr>
      </w:pPr>
      <w:bookmarkStart w:id="10" w:name="_Toc880424934"/>
      <w:r w:rsidRPr="30076135">
        <w:rPr>
          <w:rFonts w:ascii="Times New Roman" w:eastAsia="Times New Roman" w:hAnsi="Times New Roman" w:cs="Times New Roman"/>
          <w:color w:val="auto"/>
          <w:sz w:val="28"/>
          <w:szCs w:val="28"/>
        </w:rPr>
        <w:lastRenderedPageBreak/>
        <w:t>SCENARIO ANALYSES RESULTS</w:t>
      </w:r>
      <w:bookmarkEnd w:id="10"/>
    </w:p>
    <w:p w14:paraId="1B2E3A4A" w14:textId="77777777" w:rsidR="00911152" w:rsidRDefault="00911152" w:rsidP="00911152">
      <w:pPr>
        <w:rPr>
          <w:rFonts w:ascii="Times New Roman" w:eastAsia="Times New Roman" w:hAnsi="Times New Roman" w:cs="Times New Roman"/>
          <w:sz w:val="24"/>
          <w:szCs w:val="24"/>
        </w:rPr>
      </w:pPr>
      <w:r w:rsidRPr="30076135">
        <w:rPr>
          <w:rFonts w:ascii="Times New Roman" w:eastAsia="Times New Roman" w:hAnsi="Times New Roman" w:cs="Times New Roman"/>
          <w:sz w:val="24"/>
          <w:szCs w:val="24"/>
        </w:rPr>
        <w:t>The results of the scenario analyses are presented in Table 18. In Scenario 1, using the exponential distribution for both OS and PFS resulted in an incremental cost of £4,302, incremental QALYs of 0.263, and an ICER of £16,383. In Scenario 2, removing the vial wastage assumption resulted in an incremental cost of £4,683, incremental QALYs of 0.281, and an ICER of £16,681. Scenarios 3 and 4, which applied the minimum and maximum standard error percentages respectively, both produced incremental costs of £4,546 and incremental QALYs of 0.28, yielding ICERs of £16,214 and £16,332</w:t>
      </w:r>
      <w:r w:rsidR="08EAB865" w:rsidRPr="30076135">
        <w:rPr>
          <w:rFonts w:ascii="Times New Roman" w:eastAsia="Times New Roman" w:hAnsi="Times New Roman" w:cs="Times New Roman"/>
          <w:sz w:val="24"/>
          <w:szCs w:val="24"/>
        </w:rPr>
        <w:t>.</w:t>
      </w:r>
    </w:p>
    <w:p w14:paraId="12DB527F" w14:textId="71ACE52E" w:rsidR="3A510701" w:rsidRDefault="3A510701" w:rsidP="00911152">
      <w:pPr>
        <w:rPr>
          <w:rFonts w:ascii="Times New Roman" w:eastAsia="Times New Roman" w:hAnsi="Times New Roman" w:cs="Times New Roman"/>
          <w:sz w:val="24"/>
          <w:szCs w:val="24"/>
        </w:rPr>
      </w:pPr>
      <w:r w:rsidRPr="30076135">
        <w:rPr>
          <w:rFonts w:ascii="Times New Roman" w:eastAsia="Times New Roman" w:hAnsi="Times New Roman" w:cs="Times New Roman"/>
          <w:b/>
          <w:bCs/>
          <w:sz w:val="24"/>
          <w:szCs w:val="24"/>
        </w:rPr>
        <w:t>Table</w:t>
      </w:r>
      <w:r w:rsidR="6A3E8456" w:rsidRPr="30076135">
        <w:rPr>
          <w:rFonts w:ascii="Times New Roman" w:eastAsia="Times New Roman" w:hAnsi="Times New Roman" w:cs="Times New Roman"/>
          <w:b/>
          <w:bCs/>
          <w:sz w:val="24"/>
          <w:szCs w:val="24"/>
        </w:rPr>
        <w:t xml:space="preserve"> </w:t>
      </w:r>
      <w:r w:rsidR="084F7F35" w:rsidRPr="30076135">
        <w:rPr>
          <w:rFonts w:ascii="Times New Roman" w:eastAsia="Times New Roman" w:hAnsi="Times New Roman" w:cs="Times New Roman"/>
          <w:b/>
          <w:bCs/>
          <w:sz w:val="24"/>
          <w:szCs w:val="24"/>
        </w:rPr>
        <w:t>1</w:t>
      </w:r>
      <w:r w:rsidR="31A8FB1B" w:rsidRPr="30076135">
        <w:rPr>
          <w:rFonts w:ascii="Times New Roman" w:eastAsia="Times New Roman" w:hAnsi="Times New Roman" w:cs="Times New Roman"/>
          <w:b/>
          <w:bCs/>
          <w:sz w:val="24"/>
          <w:szCs w:val="24"/>
        </w:rPr>
        <w:t>8</w:t>
      </w:r>
      <w:r w:rsidR="6A3E8456" w:rsidRPr="30076135">
        <w:rPr>
          <w:rFonts w:ascii="Times New Roman" w:eastAsia="Times New Roman" w:hAnsi="Times New Roman" w:cs="Times New Roman"/>
          <w:b/>
          <w:bCs/>
          <w:sz w:val="24"/>
          <w:szCs w:val="24"/>
        </w:rPr>
        <w:t>.</w:t>
      </w:r>
      <w:r w:rsidR="6A3E8456" w:rsidRPr="30076135">
        <w:rPr>
          <w:rFonts w:ascii="Times New Roman" w:eastAsia="Times New Roman" w:hAnsi="Times New Roman" w:cs="Times New Roman"/>
          <w:sz w:val="24"/>
          <w:szCs w:val="24"/>
        </w:rPr>
        <w:t xml:space="preserve"> Results of scenario analyses showing </w:t>
      </w:r>
      <w:r w:rsidR="2B2D78EA" w:rsidRPr="30076135">
        <w:rPr>
          <w:rFonts w:ascii="Times New Roman" w:eastAsia="Times New Roman" w:hAnsi="Times New Roman" w:cs="Times New Roman"/>
          <w:sz w:val="24"/>
          <w:szCs w:val="24"/>
        </w:rPr>
        <w:t xml:space="preserve">the differences in </w:t>
      </w:r>
      <w:r w:rsidR="6A3E8456" w:rsidRPr="30076135">
        <w:rPr>
          <w:rFonts w:ascii="Times New Roman" w:eastAsia="Times New Roman" w:hAnsi="Times New Roman" w:cs="Times New Roman"/>
          <w:sz w:val="24"/>
          <w:szCs w:val="24"/>
        </w:rPr>
        <w:t xml:space="preserve">delta costs, delta QALYs and the ICERs for </w:t>
      </w:r>
      <w:r w:rsidR="77EA56D4" w:rsidRPr="30076135">
        <w:rPr>
          <w:rFonts w:ascii="Times New Roman" w:eastAsia="Times New Roman" w:hAnsi="Times New Roman" w:cs="Times New Roman"/>
          <w:sz w:val="24"/>
          <w:szCs w:val="24"/>
        </w:rPr>
        <w:t>Cabazitaxel</w:t>
      </w:r>
      <w:r w:rsidR="6A3E8456" w:rsidRPr="30076135">
        <w:rPr>
          <w:rFonts w:ascii="Times New Roman" w:eastAsia="Times New Roman" w:hAnsi="Times New Roman" w:cs="Times New Roman"/>
          <w:sz w:val="24"/>
          <w:szCs w:val="24"/>
        </w:rPr>
        <w:t xml:space="preserve"> plus Prednisone compared to </w:t>
      </w:r>
      <w:r w:rsidR="2E1C6553" w:rsidRPr="30076135">
        <w:rPr>
          <w:rFonts w:ascii="Times New Roman" w:eastAsia="Times New Roman" w:hAnsi="Times New Roman" w:cs="Times New Roman"/>
          <w:sz w:val="24"/>
          <w:szCs w:val="24"/>
        </w:rPr>
        <w:t>Mitoxantrone</w:t>
      </w:r>
      <w:r w:rsidR="6A3E8456" w:rsidRPr="30076135">
        <w:rPr>
          <w:rFonts w:ascii="Times New Roman" w:eastAsia="Times New Roman" w:hAnsi="Times New Roman" w:cs="Times New Roman"/>
          <w:sz w:val="24"/>
          <w:szCs w:val="24"/>
        </w:rPr>
        <w:t xml:space="preserve"> plus Prednisone</w:t>
      </w:r>
      <w:r w:rsidR="1677ABBD" w:rsidRPr="30076135">
        <w:rPr>
          <w:rFonts w:ascii="Times New Roman" w:eastAsia="Times New Roman" w:hAnsi="Times New Roman" w:cs="Times New Roman"/>
          <w:sz w:val="24"/>
          <w:szCs w:val="24"/>
        </w:rPr>
        <w:t xml:space="preserve"> compared to the base case</w:t>
      </w:r>
      <w:r w:rsidR="6A3E8456" w:rsidRPr="30076135">
        <w:rPr>
          <w:rFonts w:ascii="Times New Roman" w:eastAsia="Times New Roman" w:hAnsi="Times New Roman" w:cs="Times New Roman"/>
          <w:sz w:val="24"/>
          <w:szCs w:val="24"/>
        </w:rPr>
        <w:t>.</w:t>
      </w:r>
    </w:p>
    <w:p w14:paraId="4C414A81" w14:textId="025B6F92" w:rsidR="0061473B" w:rsidRDefault="1631FE03" w:rsidP="30076135">
      <w:pPr>
        <w:spacing w:before="240" w:after="240"/>
      </w:pPr>
      <w:r>
        <w:rPr>
          <w:noProof/>
        </w:rPr>
        <w:drawing>
          <wp:inline distT="0" distB="0" distL="0" distR="0" wp14:anchorId="79330DA8" wp14:editId="6AFE3D43">
            <wp:extent cx="5762625" cy="3533775"/>
            <wp:effectExtent l="0" t="0" r="0" b="0"/>
            <wp:docPr id="16098666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866606" name="Picture 1609866606"/>
                    <pic:cNvPicPr/>
                  </pic:nvPicPr>
                  <pic:blipFill>
                    <a:blip r:embed="rId29">
                      <a:extLst>
                        <a:ext uri="{28A0092B-C50C-407E-A947-70E740481C1C}">
                          <a14:useLocalDpi xmlns:a14="http://schemas.microsoft.com/office/drawing/2010/main"/>
                        </a:ext>
                      </a:extLst>
                    </a:blip>
                    <a:stretch>
                      <a:fillRect/>
                    </a:stretch>
                  </pic:blipFill>
                  <pic:spPr>
                    <a:xfrm>
                      <a:off x="0" y="0"/>
                      <a:ext cx="5762625" cy="3533775"/>
                    </a:xfrm>
                    <a:prstGeom prst="rect">
                      <a:avLst/>
                    </a:prstGeom>
                  </pic:spPr>
                </pic:pic>
              </a:graphicData>
            </a:graphic>
          </wp:inline>
        </w:drawing>
      </w:r>
    </w:p>
    <w:p w14:paraId="151E9951" w14:textId="196EC999" w:rsidR="624130D5" w:rsidRDefault="624130D5" w:rsidP="624130D5">
      <w:pPr>
        <w:pStyle w:val="Heading2"/>
        <w:rPr>
          <w:rFonts w:ascii="Times New Roman" w:eastAsia="Times New Roman" w:hAnsi="Times New Roman" w:cs="Times New Roman"/>
          <w:color w:val="auto"/>
          <w:sz w:val="28"/>
          <w:szCs w:val="28"/>
        </w:rPr>
      </w:pPr>
    </w:p>
    <w:p w14:paraId="38A874B7" w14:textId="273327B4" w:rsidR="6C37A12A" w:rsidRPr="00E204F6" w:rsidRDefault="6C37A12A" w:rsidP="3BF69728">
      <w:pPr>
        <w:pStyle w:val="Heading2"/>
        <w:rPr>
          <w:rFonts w:ascii="Times New Roman" w:eastAsia="Times New Roman" w:hAnsi="Times New Roman" w:cs="Times New Roman"/>
          <w:color w:val="auto"/>
          <w:sz w:val="28"/>
          <w:szCs w:val="28"/>
        </w:rPr>
      </w:pPr>
    </w:p>
    <w:p w14:paraId="71ED6ECF" w14:textId="7D18ED65" w:rsidR="6C37A12A" w:rsidRPr="00E204F6" w:rsidRDefault="061273F8" w:rsidP="3BF69728">
      <w:r>
        <w:br w:type="page"/>
      </w:r>
    </w:p>
    <w:p w14:paraId="4EEE0140" w14:textId="3174E101" w:rsidR="6C37A12A" w:rsidRPr="00E204F6" w:rsidRDefault="061273F8" w:rsidP="76C0B922">
      <w:pPr>
        <w:pStyle w:val="Heading2"/>
        <w:rPr>
          <w:rFonts w:ascii="Times New Roman" w:eastAsia="Times New Roman" w:hAnsi="Times New Roman" w:cs="Times New Roman"/>
          <w:color w:val="auto"/>
          <w:sz w:val="28"/>
          <w:szCs w:val="28"/>
        </w:rPr>
      </w:pPr>
      <w:bookmarkStart w:id="11" w:name="_Toc29372870"/>
      <w:r w:rsidRPr="30076135">
        <w:rPr>
          <w:rFonts w:ascii="Times New Roman" w:eastAsia="Times New Roman" w:hAnsi="Times New Roman" w:cs="Times New Roman"/>
          <w:color w:val="auto"/>
          <w:sz w:val="28"/>
          <w:szCs w:val="28"/>
        </w:rPr>
        <w:lastRenderedPageBreak/>
        <w:t>KEY MODELLING CHOICES AND ASSUMPTIONS</w:t>
      </w:r>
      <w:bookmarkEnd w:id="11"/>
    </w:p>
    <w:p w14:paraId="6A4984E7" w14:textId="5F2092AC" w:rsidR="3A510701" w:rsidRPr="00E204F6" w:rsidRDefault="3A510701" w:rsidP="76C0B922">
      <w:pPr>
        <w:spacing w:after="60"/>
        <w:rPr>
          <w:rFonts w:ascii="Times New Roman" w:eastAsia="Times New Roman" w:hAnsi="Times New Roman" w:cs="Times New Roman"/>
          <w:i/>
          <w:iCs/>
          <w:sz w:val="24"/>
          <w:szCs w:val="24"/>
        </w:rPr>
      </w:pPr>
      <w:r w:rsidRPr="00E204F6">
        <w:rPr>
          <w:rFonts w:ascii="Times New Roman" w:eastAsia="Times New Roman" w:hAnsi="Times New Roman" w:cs="Times New Roman"/>
          <w:b/>
          <w:bCs/>
          <w:sz w:val="24"/>
          <w:szCs w:val="24"/>
        </w:rPr>
        <w:t>Table</w:t>
      </w:r>
      <w:r w:rsidR="6D953EEF" w:rsidRPr="00E204F6">
        <w:rPr>
          <w:rFonts w:ascii="Times New Roman" w:eastAsia="Times New Roman" w:hAnsi="Times New Roman" w:cs="Times New Roman"/>
          <w:b/>
          <w:bCs/>
          <w:sz w:val="24"/>
          <w:szCs w:val="24"/>
        </w:rPr>
        <w:t xml:space="preserve"> </w:t>
      </w:r>
      <w:r w:rsidR="1D8EE4F8" w:rsidRPr="00E204F6">
        <w:rPr>
          <w:rFonts w:ascii="Times New Roman" w:eastAsia="Times New Roman" w:hAnsi="Times New Roman" w:cs="Times New Roman"/>
          <w:b/>
          <w:bCs/>
          <w:sz w:val="24"/>
          <w:szCs w:val="24"/>
        </w:rPr>
        <w:t>1</w:t>
      </w:r>
      <w:r w:rsidR="78CBDB44" w:rsidRPr="00E204F6">
        <w:rPr>
          <w:rFonts w:ascii="Times New Roman" w:eastAsia="Times New Roman" w:hAnsi="Times New Roman" w:cs="Times New Roman"/>
          <w:b/>
          <w:bCs/>
          <w:sz w:val="24"/>
          <w:szCs w:val="24"/>
        </w:rPr>
        <w:t>9</w:t>
      </w:r>
      <w:r w:rsidR="6D953EEF" w:rsidRPr="00E204F6">
        <w:rPr>
          <w:rFonts w:ascii="Times New Roman" w:eastAsia="Times New Roman" w:hAnsi="Times New Roman" w:cs="Times New Roman"/>
          <w:b/>
          <w:bCs/>
          <w:sz w:val="24"/>
          <w:szCs w:val="24"/>
        </w:rPr>
        <w:t xml:space="preserve">. </w:t>
      </w:r>
      <w:r w:rsidR="6D953EEF" w:rsidRPr="00E204F6">
        <w:rPr>
          <w:rFonts w:ascii="Times New Roman" w:eastAsia="Times New Roman" w:hAnsi="Times New Roman" w:cs="Times New Roman"/>
          <w:sz w:val="24"/>
          <w:szCs w:val="24"/>
        </w:rPr>
        <w:t>Expected consequences of modelling choices and assumptions on cost-effectiveness</w:t>
      </w:r>
    </w:p>
    <w:tbl>
      <w:tblPr>
        <w:tblW w:w="0" w:type="auto"/>
        <w:tblLook w:val="04A0" w:firstRow="1" w:lastRow="0" w:firstColumn="1" w:lastColumn="0" w:noHBand="0" w:noVBand="1"/>
      </w:tblPr>
      <w:tblGrid>
        <w:gridCol w:w="3015"/>
        <w:gridCol w:w="3015"/>
        <w:gridCol w:w="3015"/>
      </w:tblGrid>
      <w:tr w:rsidR="76C0B922" w:rsidRPr="00E204F6" w14:paraId="596AA19F" w14:textId="77777777" w:rsidTr="76C0B922">
        <w:trPr>
          <w:trHeight w:val="300"/>
        </w:trPr>
        <w:tc>
          <w:tcPr>
            <w:tcW w:w="3015" w:type="dxa"/>
            <w:tcBorders>
              <w:top w:val="single" w:sz="8" w:space="0" w:color="000000" w:themeColor="text1"/>
              <w:left w:val="single" w:sz="8" w:space="0" w:color="auto"/>
              <w:bottom w:val="single" w:sz="8" w:space="0" w:color="000000" w:themeColor="text1"/>
              <w:right w:val="single" w:sz="8" w:space="0" w:color="auto"/>
            </w:tcBorders>
            <w:shd w:val="clear" w:color="auto" w:fill="DAE9F7" w:themeFill="text2" w:themeFillTint="1A"/>
            <w:tcMar>
              <w:top w:w="50" w:type="dxa"/>
              <w:left w:w="90" w:type="dxa"/>
              <w:bottom w:w="50" w:type="dxa"/>
              <w:right w:w="90" w:type="dxa"/>
            </w:tcMar>
          </w:tcPr>
          <w:p w14:paraId="0D1CCC75" w14:textId="366519FD" w:rsidR="76C0B922" w:rsidRPr="00E204F6" w:rsidRDefault="76C0B922" w:rsidP="76C0B922">
            <w:pPr>
              <w:spacing w:after="40" w:line="228"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Underestimation of cost-effectiveness (ICER too high)</w:t>
            </w:r>
          </w:p>
        </w:tc>
        <w:tc>
          <w:tcPr>
            <w:tcW w:w="3015" w:type="dxa"/>
            <w:tcBorders>
              <w:top w:val="single" w:sz="8" w:space="0" w:color="000000" w:themeColor="text1"/>
              <w:left w:val="single" w:sz="8" w:space="0" w:color="auto"/>
              <w:bottom w:val="single" w:sz="8" w:space="0" w:color="000000" w:themeColor="text1"/>
              <w:right w:val="single" w:sz="8" w:space="0" w:color="auto"/>
            </w:tcBorders>
            <w:shd w:val="clear" w:color="auto" w:fill="DAE9F7" w:themeFill="text2" w:themeFillTint="1A"/>
            <w:tcMar>
              <w:top w:w="50" w:type="dxa"/>
              <w:left w:w="90" w:type="dxa"/>
              <w:bottom w:w="50" w:type="dxa"/>
              <w:right w:w="90" w:type="dxa"/>
            </w:tcMar>
          </w:tcPr>
          <w:p w14:paraId="7036B306" w14:textId="427025BC" w:rsidR="76C0B922" w:rsidRPr="00E204F6" w:rsidRDefault="76C0B922" w:rsidP="76C0B922">
            <w:pPr>
              <w:spacing w:after="40" w:line="228"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Overestimation of cost-effectiveness (ICER too low)</w:t>
            </w:r>
          </w:p>
        </w:tc>
        <w:tc>
          <w:tcPr>
            <w:tcW w:w="3015" w:type="dxa"/>
            <w:tcBorders>
              <w:top w:val="single" w:sz="8" w:space="0" w:color="000000" w:themeColor="text1"/>
              <w:left w:val="single" w:sz="8" w:space="0" w:color="auto"/>
              <w:bottom w:val="single" w:sz="8" w:space="0" w:color="000000" w:themeColor="text1"/>
              <w:right w:val="single" w:sz="8" w:space="0" w:color="auto"/>
            </w:tcBorders>
            <w:shd w:val="clear" w:color="auto" w:fill="DAE9F7" w:themeFill="text2" w:themeFillTint="1A"/>
            <w:tcMar>
              <w:top w:w="50" w:type="dxa"/>
              <w:left w:w="90" w:type="dxa"/>
              <w:bottom w:w="50" w:type="dxa"/>
              <w:right w:w="90" w:type="dxa"/>
            </w:tcMar>
          </w:tcPr>
          <w:p w14:paraId="176E2C00" w14:textId="0E3A1365" w:rsidR="76C0B922" w:rsidRPr="00E204F6" w:rsidRDefault="76C0B922" w:rsidP="76C0B922">
            <w:pPr>
              <w:spacing w:after="40" w:line="228" w:lineRule="auto"/>
              <w:rPr>
                <w:rFonts w:ascii="Times New Roman" w:eastAsia="Times New Roman" w:hAnsi="Times New Roman" w:cs="Times New Roman"/>
                <w:b/>
                <w:bCs/>
                <w:sz w:val="24"/>
                <w:szCs w:val="24"/>
              </w:rPr>
            </w:pPr>
            <w:r w:rsidRPr="00E204F6">
              <w:rPr>
                <w:rFonts w:ascii="Times New Roman" w:eastAsia="Times New Roman" w:hAnsi="Times New Roman" w:cs="Times New Roman"/>
                <w:b/>
                <w:bCs/>
                <w:sz w:val="24"/>
                <w:szCs w:val="24"/>
              </w:rPr>
              <w:t>Unknown direction</w:t>
            </w:r>
          </w:p>
        </w:tc>
      </w:tr>
      <w:tr w:rsidR="76C0B922" w:rsidRPr="00E204F6" w14:paraId="3C5A7CA9" w14:textId="77777777" w:rsidTr="76C0B922">
        <w:trPr>
          <w:trHeight w:val="300"/>
        </w:trPr>
        <w:tc>
          <w:tcPr>
            <w:tcW w:w="3015" w:type="dxa"/>
            <w:tcBorders>
              <w:top w:val="single" w:sz="8" w:space="0" w:color="000000" w:themeColor="text1"/>
              <w:left w:val="single" w:sz="8" w:space="0" w:color="auto"/>
              <w:bottom w:val="single" w:sz="8" w:space="0" w:color="auto"/>
              <w:right w:val="single" w:sz="8" w:space="0" w:color="auto"/>
            </w:tcBorders>
            <w:tcMar>
              <w:top w:w="50" w:type="dxa"/>
              <w:left w:w="90" w:type="dxa"/>
              <w:bottom w:w="50" w:type="dxa"/>
              <w:right w:w="90" w:type="dxa"/>
            </w:tcMar>
          </w:tcPr>
          <w:p w14:paraId="0A4266D0" w14:textId="6346797B" w:rsidR="76C0B922" w:rsidRPr="00E204F6" w:rsidRDefault="76C0B922" w:rsidP="76C0B922">
            <w:pPr>
              <w:spacing w:after="100" w:line="218" w:lineRule="auto"/>
              <w:rPr>
                <w:rFonts w:ascii="Times New Roman" w:eastAsia="Times New Roman" w:hAnsi="Times New Roman" w:cs="Times New Roman"/>
              </w:rPr>
            </w:pPr>
            <w:r w:rsidRPr="00E204F6">
              <w:rPr>
                <w:rFonts w:ascii="Times New Roman" w:eastAsia="Times New Roman" w:hAnsi="Times New Roman" w:cs="Times New Roman"/>
              </w:rPr>
              <w:t xml:space="preserve">• A discount rate of 3.5% was applied to both costs and effects. Since </w:t>
            </w:r>
            <w:r w:rsidR="77EA56D4" w:rsidRPr="00E204F6">
              <w:rPr>
                <w:rFonts w:ascii="Times New Roman" w:eastAsia="Times New Roman" w:hAnsi="Times New Roman" w:cs="Times New Roman"/>
              </w:rPr>
              <w:t>Cabazitaxel</w:t>
            </w:r>
            <w:r w:rsidRPr="00E204F6">
              <w:rPr>
                <w:rFonts w:ascii="Times New Roman" w:eastAsia="Times New Roman" w:hAnsi="Times New Roman" w:cs="Times New Roman"/>
              </w:rPr>
              <w:t xml:space="preserve"> generates health benefits over a longer period than </w:t>
            </w:r>
            <w:r w:rsidR="2E1C6553" w:rsidRPr="00E204F6">
              <w:rPr>
                <w:rFonts w:ascii="Times New Roman" w:eastAsia="Times New Roman" w:hAnsi="Times New Roman" w:cs="Times New Roman"/>
              </w:rPr>
              <w:t>Mitoxantrone</w:t>
            </w:r>
            <w:r w:rsidRPr="00E204F6">
              <w:rPr>
                <w:rFonts w:ascii="Times New Roman" w:eastAsia="Times New Roman" w:hAnsi="Times New Roman" w:cs="Times New Roman"/>
              </w:rPr>
              <w:t>, a lower discount rate for effects would increase incremental QALYs and lower the ICER.</w:t>
            </w:r>
          </w:p>
          <w:p w14:paraId="277C4215" w14:textId="4B679F95" w:rsidR="76C0B922" w:rsidRPr="00E204F6" w:rsidRDefault="76C0B922" w:rsidP="76C0B922">
            <w:pPr>
              <w:spacing w:after="100" w:line="218" w:lineRule="auto"/>
              <w:rPr>
                <w:rFonts w:ascii="Times New Roman" w:eastAsia="Times New Roman" w:hAnsi="Times New Roman" w:cs="Times New Roman"/>
              </w:rPr>
            </w:pPr>
            <w:r w:rsidRPr="00E204F6">
              <w:rPr>
                <w:rFonts w:ascii="Times New Roman" w:eastAsia="Times New Roman" w:hAnsi="Times New Roman" w:cs="Times New Roman"/>
              </w:rPr>
              <w:t xml:space="preserve">• Drug acquisition costs are based on </w:t>
            </w:r>
            <w:proofErr w:type="spellStart"/>
            <w:r w:rsidRPr="00E204F6">
              <w:rPr>
                <w:rFonts w:ascii="Times New Roman" w:eastAsia="Times New Roman" w:hAnsi="Times New Roman" w:cs="Times New Roman"/>
              </w:rPr>
              <w:t>eMIT</w:t>
            </w:r>
            <w:proofErr w:type="spellEnd"/>
            <w:r w:rsidRPr="00E204F6">
              <w:rPr>
                <w:rFonts w:ascii="Times New Roman" w:eastAsia="Times New Roman" w:hAnsi="Times New Roman" w:cs="Times New Roman"/>
              </w:rPr>
              <w:t xml:space="preserve"> procurement prices. If actual prices paid by NHS hospitals are lower due to confidential discounts or patient access schemes, total </w:t>
            </w:r>
            <w:r w:rsidR="77EA56D4" w:rsidRPr="00E204F6">
              <w:rPr>
                <w:rFonts w:ascii="Times New Roman" w:eastAsia="Times New Roman" w:hAnsi="Times New Roman" w:cs="Times New Roman"/>
              </w:rPr>
              <w:t>Cabazitaxel</w:t>
            </w:r>
            <w:r w:rsidRPr="00E204F6">
              <w:rPr>
                <w:rFonts w:ascii="Times New Roman" w:eastAsia="Times New Roman" w:hAnsi="Times New Roman" w:cs="Times New Roman"/>
              </w:rPr>
              <w:t xml:space="preserve"> costs may be lower than modelled.</w:t>
            </w:r>
          </w:p>
          <w:p w14:paraId="3E99442F" w14:textId="39FCBEAF" w:rsidR="76C0B922" w:rsidRPr="00E204F6" w:rsidRDefault="76C0B922" w:rsidP="76C0B922">
            <w:pPr>
              <w:spacing w:after="40" w:line="218" w:lineRule="auto"/>
              <w:rPr>
                <w:rFonts w:ascii="Times New Roman" w:eastAsia="Times New Roman" w:hAnsi="Times New Roman" w:cs="Times New Roman"/>
              </w:rPr>
            </w:pPr>
            <w:r w:rsidRPr="00E204F6">
              <w:rPr>
                <w:rFonts w:ascii="Times New Roman" w:eastAsia="Times New Roman" w:hAnsi="Times New Roman" w:cs="Times New Roman"/>
              </w:rPr>
              <w:t xml:space="preserve">• AEs associated with post-progression chemotherapy were not included in the model. Including these would increase PD costs for both arms, but since more </w:t>
            </w:r>
            <w:r w:rsidR="77EA56D4" w:rsidRPr="00E204F6">
              <w:rPr>
                <w:rFonts w:ascii="Times New Roman" w:eastAsia="Times New Roman" w:hAnsi="Times New Roman" w:cs="Times New Roman"/>
              </w:rPr>
              <w:t>Cabazitaxel</w:t>
            </w:r>
            <w:r w:rsidRPr="00E204F6">
              <w:rPr>
                <w:rFonts w:ascii="Times New Roman" w:eastAsia="Times New Roman" w:hAnsi="Times New Roman" w:cs="Times New Roman"/>
              </w:rPr>
              <w:t xml:space="preserve"> patients survive to receive post-progression treatment, the incremental costs may be underestimated.</w:t>
            </w:r>
          </w:p>
        </w:tc>
        <w:tc>
          <w:tcPr>
            <w:tcW w:w="3015" w:type="dxa"/>
            <w:tcBorders>
              <w:top w:val="single" w:sz="8" w:space="0" w:color="000000" w:themeColor="text1"/>
              <w:left w:val="single" w:sz="8" w:space="0" w:color="auto"/>
              <w:bottom w:val="single" w:sz="8" w:space="0" w:color="auto"/>
              <w:right w:val="single" w:sz="8" w:space="0" w:color="auto"/>
            </w:tcBorders>
            <w:tcMar>
              <w:top w:w="50" w:type="dxa"/>
              <w:left w:w="90" w:type="dxa"/>
              <w:bottom w:w="50" w:type="dxa"/>
              <w:right w:w="90" w:type="dxa"/>
            </w:tcMar>
          </w:tcPr>
          <w:p w14:paraId="2DBB8F14" w14:textId="2B790487" w:rsidR="76C0B922" w:rsidRPr="00E204F6" w:rsidRDefault="76C0B922" w:rsidP="76C0B922">
            <w:pPr>
              <w:spacing w:after="100" w:line="218" w:lineRule="auto"/>
              <w:rPr>
                <w:rFonts w:ascii="Times New Roman" w:eastAsia="Times New Roman" w:hAnsi="Times New Roman" w:cs="Times New Roman"/>
              </w:rPr>
            </w:pPr>
            <w:r w:rsidRPr="00E204F6">
              <w:rPr>
                <w:rFonts w:ascii="Times New Roman" w:eastAsia="Times New Roman" w:hAnsi="Times New Roman" w:cs="Times New Roman"/>
              </w:rPr>
              <w:t xml:space="preserve">• Utility values from the UK EAP may overestimate HRQoL due to selection bias: patients assessed at later treatment cycles were likely those responding well to treatment. Since </w:t>
            </w:r>
            <w:r w:rsidR="77EA56D4" w:rsidRPr="00E204F6">
              <w:rPr>
                <w:rFonts w:ascii="Times New Roman" w:eastAsia="Times New Roman" w:hAnsi="Times New Roman" w:cs="Times New Roman"/>
              </w:rPr>
              <w:t>Cabazitaxel</w:t>
            </w:r>
            <w:r w:rsidRPr="00E204F6">
              <w:rPr>
                <w:rFonts w:ascii="Times New Roman" w:eastAsia="Times New Roman" w:hAnsi="Times New Roman" w:cs="Times New Roman"/>
              </w:rPr>
              <w:t xml:space="preserve"> patients spend more time in </w:t>
            </w:r>
            <w:r w:rsidR="70D60A72" w:rsidRPr="00E204F6">
              <w:rPr>
                <w:rFonts w:ascii="Times New Roman" w:eastAsia="Times New Roman" w:hAnsi="Times New Roman" w:cs="Times New Roman"/>
              </w:rPr>
              <w:t>stable</w:t>
            </w:r>
            <w:r w:rsidRPr="00E204F6">
              <w:rPr>
                <w:rFonts w:ascii="Times New Roman" w:eastAsia="Times New Roman" w:hAnsi="Times New Roman" w:cs="Times New Roman"/>
              </w:rPr>
              <w:t xml:space="preserve"> disease, this disproportionately increases the QALYs in the </w:t>
            </w:r>
            <w:r w:rsidR="77EA56D4" w:rsidRPr="00E204F6">
              <w:rPr>
                <w:rFonts w:ascii="Times New Roman" w:eastAsia="Times New Roman" w:hAnsi="Times New Roman" w:cs="Times New Roman"/>
              </w:rPr>
              <w:t>Cabazitaxel</w:t>
            </w:r>
            <w:r w:rsidRPr="00E204F6">
              <w:rPr>
                <w:rFonts w:ascii="Times New Roman" w:eastAsia="Times New Roman" w:hAnsi="Times New Roman" w:cs="Times New Roman"/>
              </w:rPr>
              <w:t xml:space="preserve"> arm.</w:t>
            </w:r>
          </w:p>
          <w:p w14:paraId="624DCA36" w14:textId="6F402FA9" w:rsidR="76C0B922" w:rsidRPr="00E204F6" w:rsidRDefault="76C0B922" w:rsidP="76C0B922">
            <w:pPr>
              <w:spacing w:after="100" w:line="218" w:lineRule="auto"/>
              <w:rPr>
                <w:rFonts w:ascii="Times New Roman" w:eastAsia="Times New Roman" w:hAnsi="Times New Roman" w:cs="Times New Roman"/>
              </w:rPr>
            </w:pPr>
            <w:r w:rsidRPr="00E204F6">
              <w:rPr>
                <w:rFonts w:ascii="Times New Roman" w:eastAsia="Times New Roman" w:hAnsi="Times New Roman" w:cs="Times New Roman"/>
              </w:rPr>
              <w:t>• EAP patients were less heavily pre-treated than TROPIC patients (11% vs 31% had received two or more prior chemotherapy regimens</w:t>
            </w:r>
            <w:bookmarkStart w:id="12" w:name="_Int_TIXazVeg"/>
            <w:r w:rsidRPr="00E204F6">
              <w:rPr>
                <w:rFonts w:ascii="Times New Roman" w:eastAsia="Times New Roman" w:hAnsi="Times New Roman" w:cs="Times New Roman"/>
              </w:rPr>
              <w:t>), and</w:t>
            </w:r>
            <w:bookmarkEnd w:id="12"/>
            <w:r w:rsidRPr="00E204F6">
              <w:rPr>
                <w:rFonts w:ascii="Times New Roman" w:eastAsia="Times New Roman" w:hAnsi="Times New Roman" w:cs="Times New Roman"/>
              </w:rPr>
              <w:t xml:space="preserve"> are therefore likely to have been in better physical condition, meaning utility values may overestimate HRQoL for the modelled population</w:t>
            </w:r>
            <w:r w:rsidR="63A395D1" w:rsidRPr="00E204F6">
              <w:rPr>
                <w:rFonts w:ascii="Times New Roman" w:eastAsia="Times New Roman" w:hAnsi="Times New Roman" w:cs="Times New Roman"/>
              </w:rPr>
              <w:t xml:space="preserve"> (Bahl et al., 2015, NICE, 2016b)</w:t>
            </w:r>
            <w:r w:rsidRPr="00E204F6">
              <w:rPr>
                <w:rFonts w:ascii="Times New Roman" w:eastAsia="Times New Roman" w:hAnsi="Times New Roman" w:cs="Times New Roman"/>
              </w:rPr>
              <w:t>.</w:t>
            </w:r>
          </w:p>
          <w:p w14:paraId="6E2C7B94" w14:textId="71153AE7" w:rsidR="76C0B922" w:rsidRPr="00E204F6" w:rsidRDefault="76C0B922" w:rsidP="76C0B922">
            <w:pPr>
              <w:spacing w:after="100" w:line="218" w:lineRule="auto"/>
              <w:rPr>
                <w:rFonts w:ascii="Times New Roman" w:eastAsia="Times New Roman" w:hAnsi="Times New Roman" w:cs="Times New Roman"/>
              </w:rPr>
            </w:pPr>
            <w:r w:rsidRPr="00E204F6">
              <w:rPr>
                <w:rFonts w:ascii="Times New Roman" w:eastAsia="Times New Roman" w:hAnsi="Times New Roman" w:cs="Times New Roman"/>
              </w:rPr>
              <w:t xml:space="preserve">• The model does not allow direct transitions from </w:t>
            </w:r>
            <w:r w:rsidR="00B5672C" w:rsidRPr="00E204F6">
              <w:rPr>
                <w:rFonts w:ascii="Times New Roman" w:eastAsia="Times New Roman" w:hAnsi="Times New Roman" w:cs="Times New Roman"/>
              </w:rPr>
              <w:t>SD</w:t>
            </w:r>
            <w:r w:rsidRPr="00E204F6">
              <w:rPr>
                <w:rFonts w:ascii="Times New Roman" w:eastAsia="Times New Roman" w:hAnsi="Times New Roman" w:cs="Times New Roman"/>
              </w:rPr>
              <w:t xml:space="preserve"> to death. All patients must pass through </w:t>
            </w:r>
            <w:r w:rsidR="5C3D8555" w:rsidRPr="00E204F6">
              <w:rPr>
                <w:rFonts w:ascii="Times New Roman" w:eastAsia="Times New Roman" w:hAnsi="Times New Roman" w:cs="Times New Roman"/>
              </w:rPr>
              <w:t>PD</w:t>
            </w:r>
            <w:r w:rsidRPr="00E204F6">
              <w:rPr>
                <w:rFonts w:ascii="Times New Roman" w:eastAsia="Times New Roman" w:hAnsi="Times New Roman" w:cs="Times New Roman"/>
              </w:rPr>
              <w:t xml:space="preserve"> before dying, which may overestimate the time spent in </w:t>
            </w:r>
            <w:r w:rsidR="0764F902" w:rsidRPr="00E204F6">
              <w:rPr>
                <w:rFonts w:ascii="Times New Roman" w:eastAsia="Times New Roman" w:hAnsi="Times New Roman" w:cs="Times New Roman"/>
              </w:rPr>
              <w:t>PD</w:t>
            </w:r>
            <w:r w:rsidRPr="00E204F6">
              <w:rPr>
                <w:rFonts w:ascii="Times New Roman" w:eastAsia="Times New Roman" w:hAnsi="Times New Roman" w:cs="Times New Roman"/>
              </w:rPr>
              <w:t xml:space="preserve"> and therefore the incremental QALYs.</w:t>
            </w:r>
          </w:p>
          <w:p w14:paraId="077F2BE2" w14:textId="6FB21732" w:rsidR="76C0B922" w:rsidRPr="00E204F6" w:rsidRDefault="76C0B922" w:rsidP="76C0B922">
            <w:pPr>
              <w:spacing w:after="100" w:line="218" w:lineRule="auto"/>
              <w:rPr>
                <w:rFonts w:ascii="Times New Roman" w:eastAsia="Times New Roman" w:hAnsi="Times New Roman" w:cs="Times New Roman"/>
              </w:rPr>
            </w:pPr>
            <w:r w:rsidRPr="00E204F6">
              <w:rPr>
                <w:rFonts w:ascii="Times New Roman" w:eastAsia="Times New Roman" w:hAnsi="Times New Roman" w:cs="Times New Roman"/>
              </w:rPr>
              <w:t xml:space="preserve">• Cycle-specific utilities for </w:t>
            </w:r>
            <w:r w:rsidR="5E941919" w:rsidRPr="00E204F6">
              <w:rPr>
                <w:rFonts w:ascii="Times New Roman" w:eastAsia="Times New Roman" w:hAnsi="Times New Roman" w:cs="Times New Roman"/>
              </w:rPr>
              <w:t>SD</w:t>
            </w:r>
            <w:r w:rsidRPr="00E204F6">
              <w:rPr>
                <w:rFonts w:ascii="Times New Roman" w:eastAsia="Times New Roman" w:hAnsi="Times New Roman" w:cs="Times New Roman"/>
              </w:rPr>
              <w:t xml:space="preserve"> increase from 0.704 to 0.819. </w:t>
            </w:r>
            <w:r w:rsidR="77EA56D4" w:rsidRPr="00E204F6">
              <w:rPr>
                <w:rFonts w:ascii="Times New Roman" w:eastAsia="Times New Roman" w:hAnsi="Times New Roman" w:cs="Times New Roman"/>
              </w:rPr>
              <w:t>Cabazitaxel</w:t>
            </w:r>
            <w:r w:rsidRPr="00E204F6">
              <w:rPr>
                <w:rFonts w:ascii="Times New Roman" w:eastAsia="Times New Roman" w:hAnsi="Times New Roman" w:cs="Times New Roman"/>
              </w:rPr>
              <w:t xml:space="preserve"> patients who remain in </w:t>
            </w:r>
            <w:r w:rsidR="0ADF370A" w:rsidRPr="00E204F6">
              <w:rPr>
                <w:rFonts w:ascii="Times New Roman" w:eastAsia="Times New Roman" w:hAnsi="Times New Roman" w:cs="Times New Roman"/>
              </w:rPr>
              <w:t>SD</w:t>
            </w:r>
            <w:r w:rsidRPr="00E204F6">
              <w:rPr>
                <w:rFonts w:ascii="Times New Roman" w:eastAsia="Times New Roman" w:hAnsi="Times New Roman" w:cs="Times New Roman"/>
              </w:rPr>
              <w:t xml:space="preserve"> longer benefit disproportionately from higher utilities at later cycles.</w:t>
            </w:r>
          </w:p>
          <w:p w14:paraId="4FC80DCE" w14:textId="3D91A72D" w:rsidR="76C0B922" w:rsidRPr="00E204F6" w:rsidRDefault="76C0B922" w:rsidP="76C0B922">
            <w:pPr>
              <w:spacing w:after="100" w:line="218" w:lineRule="auto"/>
              <w:rPr>
                <w:rFonts w:ascii="Times New Roman" w:eastAsia="Times New Roman" w:hAnsi="Times New Roman" w:cs="Times New Roman"/>
              </w:rPr>
            </w:pPr>
            <w:r w:rsidRPr="00E204F6">
              <w:rPr>
                <w:rFonts w:ascii="Times New Roman" w:eastAsia="Times New Roman" w:hAnsi="Times New Roman" w:cs="Times New Roman"/>
              </w:rPr>
              <w:t>• The number of newly progressed patients was approximated as PFS</w:t>
            </w:r>
            <w:r w:rsidR="1F74D40E" w:rsidRPr="00E204F6">
              <w:rPr>
                <w:rFonts w:ascii="Times New Roman" w:eastAsia="Times New Roman" w:hAnsi="Times New Roman" w:cs="Times New Roman"/>
              </w:rPr>
              <w:t xml:space="preserve"> (</w:t>
            </w:r>
            <w:r w:rsidRPr="00E204F6">
              <w:rPr>
                <w:rFonts w:ascii="Times New Roman" w:eastAsia="Times New Roman" w:hAnsi="Times New Roman" w:cs="Times New Roman"/>
              </w:rPr>
              <w:t>t-1 minus</w:t>
            </w:r>
            <w:r w:rsidR="180486EF" w:rsidRPr="00E204F6">
              <w:rPr>
                <w:rFonts w:ascii="Times New Roman" w:eastAsia="Times New Roman" w:hAnsi="Times New Roman" w:cs="Times New Roman"/>
              </w:rPr>
              <w:t>)</w:t>
            </w:r>
            <w:r w:rsidRPr="00E204F6">
              <w:rPr>
                <w:rFonts w:ascii="Times New Roman" w:eastAsia="Times New Roman" w:hAnsi="Times New Roman" w:cs="Times New Roman"/>
              </w:rPr>
              <w:t xml:space="preserve"> PFS</w:t>
            </w:r>
            <w:r w:rsidR="550A12C2" w:rsidRPr="00E204F6">
              <w:rPr>
                <w:rFonts w:ascii="Times New Roman" w:eastAsia="Times New Roman" w:hAnsi="Times New Roman" w:cs="Times New Roman"/>
              </w:rPr>
              <w:t xml:space="preserve"> (</w:t>
            </w:r>
            <w:r w:rsidRPr="00E204F6">
              <w:rPr>
                <w:rFonts w:ascii="Times New Roman" w:eastAsia="Times New Roman" w:hAnsi="Times New Roman" w:cs="Times New Roman"/>
              </w:rPr>
              <w:t>t</w:t>
            </w:r>
            <w:r w:rsidR="1CCA5857" w:rsidRPr="00E204F6">
              <w:rPr>
                <w:rFonts w:ascii="Times New Roman" w:eastAsia="Times New Roman" w:hAnsi="Times New Roman" w:cs="Times New Roman"/>
              </w:rPr>
              <w:t>)</w:t>
            </w:r>
            <w:r w:rsidRPr="00E204F6">
              <w:rPr>
                <w:rFonts w:ascii="Times New Roman" w:eastAsia="Times New Roman" w:hAnsi="Times New Roman" w:cs="Times New Roman"/>
              </w:rPr>
              <w:t xml:space="preserve">. This represents an upper bound, as some patients may die while in </w:t>
            </w:r>
            <w:r w:rsidR="5BC461A3" w:rsidRPr="00E204F6">
              <w:rPr>
                <w:rFonts w:ascii="Times New Roman" w:eastAsia="Times New Roman" w:hAnsi="Times New Roman" w:cs="Times New Roman"/>
              </w:rPr>
              <w:t>SD</w:t>
            </w:r>
            <w:r w:rsidRPr="00E204F6">
              <w:rPr>
                <w:rFonts w:ascii="Times New Roman" w:eastAsia="Times New Roman" w:hAnsi="Times New Roman" w:cs="Times New Roman"/>
              </w:rPr>
              <w:t xml:space="preserve"> rather than progressing, meaning the post-progression costs applied to these patients may be overestimated.</w:t>
            </w:r>
          </w:p>
          <w:p w14:paraId="5D3A4FA7" w14:textId="1B0126B6" w:rsidR="76C0B922" w:rsidRPr="00E204F6" w:rsidRDefault="76C0B922" w:rsidP="76C0B922">
            <w:pPr>
              <w:spacing w:after="40" w:line="218" w:lineRule="auto"/>
              <w:rPr>
                <w:rFonts w:ascii="Times New Roman" w:eastAsia="Times New Roman" w:hAnsi="Times New Roman" w:cs="Times New Roman"/>
              </w:rPr>
            </w:pPr>
            <w:r w:rsidRPr="00E204F6">
              <w:rPr>
                <w:rFonts w:ascii="Times New Roman" w:eastAsia="Times New Roman" w:hAnsi="Times New Roman" w:cs="Times New Roman"/>
              </w:rPr>
              <w:t xml:space="preserve">• HC resource use frequencies in </w:t>
            </w:r>
            <w:r w:rsidR="5BC461A3" w:rsidRPr="00E204F6">
              <w:rPr>
                <w:rFonts w:ascii="Times New Roman" w:eastAsia="Times New Roman" w:hAnsi="Times New Roman" w:cs="Times New Roman"/>
              </w:rPr>
              <w:t>SD</w:t>
            </w:r>
            <w:r w:rsidRPr="00E204F6">
              <w:rPr>
                <w:rFonts w:ascii="Times New Roman" w:eastAsia="Times New Roman" w:hAnsi="Times New Roman" w:cs="Times New Roman"/>
              </w:rPr>
              <w:t xml:space="preserve"> are the same for both treatment arms. If </w:t>
            </w:r>
            <w:r w:rsidR="77EA56D4" w:rsidRPr="00E204F6">
              <w:rPr>
                <w:rFonts w:ascii="Times New Roman" w:eastAsia="Times New Roman" w:hAnsi="Times New Roman" w:cs="Times New Roman"/>
              </w:rPr>
              <w:t>Cabazitaxel</w:t>
            </w:r>
            <w:r w:rsidRPr="00E204F6">
              <w:rPr>
                <w:rFonts w:ascii="Times New Roman" w:eastAsia="Times New Roman" w:hAnsi="Times New Roman" w:cs="Times New Roman"/>
              </w:rPr>
              <w:t xml:space="preserve"> </w:t>
            </w:r>
            <w:r w:rsidRPr="00E204F6">
              <w:rPr>
                <w:rFonts w:ascii="Times New Roman" w:eastAsia="Times New Roman" w:hAnsi="Times New Roman" w:cs="Times New Roman"/>
              </w:rPr>
              <w:lastRenderedPageBreak/>
              <w:t xml:space="preserve">patients require fewer healthcare contacts due to better disease control, the model overestimates </w:t>
            </w:r>
            <w:r w:rsidR="77EA56D4" w:rsidRPr="00E204F6">
              <w:rPr>
                <w:rFonts w:ascii="Times New Roman" w:eastAsia="Times New Roman" w:hAnsi="Times New Roman" w:cs="Times New Roman"/>
              </w:rPr>
              <w:t>Cabazitaxel</w:t>
            </w:r>
            <w:r w:rsidRPr="00E204F6">
              <w:rPr>
                <w:rFonts w:ascii="Times New Roman" w:eastAsia="Times New Roman" w:hAnsi="Times New Roman" w:cs="Times New Roman"/>
              </w:rPr>
              <w:t xml:space="preserve"> costs in </w:t>
            </w:r>
            <w:r w:rsidR="51ABD626" w:rsidRPr="00E204F6">
              <w:rPr>
                <w:rFonts w:ascii="Times New Roman" w:eastAsia="Times New Roman" w:hAnsi="Times New Roman" w:cs="Times New Roman"/>
              </w:rPr>
              <w:t>SD</w:t>
            </w:r>
            <w:r w:rsidRPr="00E204F6">
              <w:rPr>
                <w:rFonts w:ascii="Times New Roman" w:eastAsia="Times New Roman" w:hAnsi="Times New Roman" w:cs="Times New Roman"/>
              </w:rPr>
              <w:t>.</w:t>
            </w:r>
          </w:p>
        </w:tc>
        <w:tc>
          <w:tcPr>
            <w:tcW w:w="3015" w:type="dxa"/>
            <w:tcBorders>
              <w:top w:val="single" w:sz="8" w:space="0" w:color="000000" w:themeColor="text1"/>
              <w:left w:val="single" w:sz="8" w:space="0" w:color="auto"/>
              <w:bottom w:val="single" w:sz="8" w:space="0" w:color="auto"/>
              <w:right w:val="single" w:sz="8" w:space="0" w:color="auto"/>
            </w:tcBorders>
            <w:tcMar>
              <w:top w:w="50" w:type="dxa"/>
              <w:left w:w="90" w:type="dxa"/>
              <w:bottom w:w="50" w:type="dxa"/>
              <w:right w:w="90" w:type="dxa"/>
            </w:tcMar>
          </w:tcPr>
          <w:p w14:paraId="14731432" w14:textId="7A1C8271" w:rsidR="76C0B922" w:rsidRPr="00E204F6" w:rsidRDefault="76C0B922" w:rsidP="76C0B922">
            <w:pPr>
              <w:spacing w:after="100" w:line="218" w:lineRule="auto"/>
              <w:rPr>
                <w:rFonts w:ascii="Times New Roman" w:eastAsia="Times New Roman" w:hAnsi="Times New Roman" w:cs="Times New Roman"/>
              </w:rPr>
            </w:pPr>
            <w:r w:rsidRPr="00E204F6">
              <w:rPr>
                <w:rFonts w:ascii="Times New Roman" w:eastAsia="Times New Roman" w:hAnsi="Times New Roman" w:cs="Times New Roman"/>
              </w:rPr>
              <w:lastRenderedPageBreak/>
              <w:t>• The loglogistic distribution was selected for OS based on AIC and visual fit. Alternative distributions would produce different survival extrapolations, and the impact on the ICER depends on the relative change for each treatment arm.</w:t>
            </w:r>
          </w:p>
          <w:p w14:paraId="4050D2AF" w14:textId="0DEB291C" w:rsidR="76C0B922" w:rsidRPr="00E204F6" w:rsidRDefault="76C0B922" w:rsidP="76C0B922">
            <w:pPr>
              <w:spacing w:after="100" w:line="218" w:lineRule="auto"/>
              <w:rPr>
                <w:rFonts w:ascii="Times New Roman" w:eastAsia="Times New Roman" w:hAnsi="Times New Roman" w:cs="Times New Roman"/>
              </w:rPr>
            </w:pPr>
            <w:r w:rsidRPr="00E204F6">
              <w:rPr>
                <w:rFonts w:ascii="Times New Roman" w:eastAsia="Times New Roman" w:hAnsi="Times New Roman" w:cs="Times New Roman"/>
              </w:rPr>
              <w:t>• The Weibull distribution was selected for PFS for both arms to ensure internal consistency, even though different distributions provided the best fit for each arm individually.</w:t>
            </w:r>
          </w:p>
          <w:p w14:paraId="07FF6C90" w14:textId="418FB40C" w:rsidR="76C0B922" w:rsidRPr="00E204F6" w:rsidRDefault="76C0B922" w:rsidP="76C0B922">
            <w:pPr>
              <w:spacing w:after="100" w:line="218" w:lineRule="auto"/>
              <w:rPr>
                <w:rFonts w:ascii="Times New Roman" w:eastAsia="Times New Roman" w:hAnsi="Times New Roman" w:cs="Times New Roman"/>
              </w:rPr>
            </w:pPr>
            <w:r w:rsidRPr="00E204F6">
              <w:rPr>
                <w:rFonts w:ascii="Times New Roman" w:eastAsia="Times New Roman" w:hAnsi="Times New Roman" w:cs="Times New Roman"/>
              </w:rPr>
              <w:t xml:space="preserve">• The same utility values were applied to both treatment arms, as no </w:t>
            </w:r>
            <w:r w:rsidR="2E1C6553" w:rsidRPr="00E204F6">
              <w:rPr>
                <w:rFonts w:ascii="Times New Roman" w:eastAsia="Times New Roman" w:hAnsi="Times New Roman" w:cs="Times New Roman"/>
              </w:rPr>
              <w:t>Mitoxantrone</w:t>
            </w:r>
            <w:r w:rsidRPr="00E204F6">
              <w:rPr>
                <w:rFonts w:ascii="Times New Roman" w:eastAsia="Times New Roman" w:hAnsi="Times New Roman" w:cs="Times New Roman"/>
              </w:rPr>
              <w:t>-specific utility data was available. If HRQoL differs between treatments for a given health state, the incremental QALY estimate could change in either direction.</w:t>
            </w:r>
          </w:p>
          <w:p w14:paraId="0A555F36" w14:textId="6A04A848" w:rsidR="76C0B922" w:rsidRPr="00E204F6" w:rsidRDefault="76C0B922" w:rsidP="76C0B922">
            <w:pPr>
              <w:spacing w:after="100" w:line="218" w:lineRule="auto"/>
              <w:rPr>
                <w:rFonts w:ascii="Times New Roman" w:eastAsia="Times New Roman" w:hAnsi="Times New Roman" w:cs="Times New Roman"/>
              </w:rPr>
            </w:pPr>
            <w:r w:rsidRPr="00E204F6">
              <w:rPr>
                <w:rFonts w:ascii="Times New Roman" w:eastAsia="Times New Roman" w:hAnsi="Times New Roman" w:cs="Times New Roman"/>
              </w:rPr>
              <w:t xml:space="preserve">• AE </w:t>
            </w:r>
            <w:proofErr w:type="spellStart"/>
            <w:r w:rsidRPr="00E204F6">
              <w:rPr>
                <w:rFonts w:ascii="Times New Roman" w:eastAsia="Times New Roman" w:hAnsi="Times New Roman" w:cs="Times New Roman"/>
              </w:rPr>
              <w:t>disutilities</w:t>
            </w:r>
            <w:proofErr w:type="spellEnd"/>
            <w:r w:rsidRPr="00E204F6">
              <w:rPr>
                <w:rFonts w:ascii="Times New Roman" w:eastAsia="Times New Roman" w:hAnsi="Times New Roman" w:cs="Times New Roman"/>
              </w:rPr>
              <w:t xml:space="preserve"> were derived from studies in breast and lung cancer as a proxy, since no </w:t>
            </w:r>
            <w:proofErr w:type="spellStart"/>
            <w:r w:rsidRPr="00E204F6">
              <w:rPr>
                <w:rFonts w:ascii="Times New Roman" w:eastAsia="Times New Roman" w:hAnsi="Times New Roman" w:cs="Times New Roman"/>
              </w:rPr>
              <w:t>mCRPC</w:t>
            </w:r>
            <w:proofErr w:type="spellEnd"/>
            <w:r w:rsidRPr="00E204F6">
              <w:rPr>
                <w:rFonts w:ascii="Times New Roman" w:eastAsia="Times New Roman" w:hAnsi="Times New Roman" w:cs="Times New Roman"/>
              </w:rPr>
              <w:t>-specific values were available</w:t>
            </w:r>
            <w:r w:rsidR="45363152" w:rsidRPr="00E204F6">
              <w:rPr>
                <w:rFonts w:ascii="Times New Roman" w:eastAsia="Times New Roman" w:hAnsi="Times New Roman" w:cs="Times New Roman"/>
              </w:rPr>
              <w:t xml:space="preserve"> (NICE, 2016a; NICE 2016b)</w:t>
            </w:r>
            <w:r w:rsidRPr="00E204F6">
              <w:rPr>
                <w:rFonts w:ascii="Times New Roman" w:eastAsia="Times New Roman" w:hAnsi="Times New Roman" w:cs="Times New Roman"/>
              </w:rPr>
              <w:t>. These may over- or underestimate the true QALY impact.</w:t>
            </w:r>
          </w:p>
          <w:p w14:paraId="638C4A1D" w14:textId="6C4C4C97" w:rsidR="76C0B922" w:rsidRPr="00E204F6" w:rsidRDefault="76C0B922" w:rsidP="76C0B922">
            <w:pPr>
              <w:spacing w:after="100" w:line="218" w:lineRule="auto"/>
              <w:rPr>
                <w:rFonts w:ascii="Times New Roman" w:eastAsia="Times New Roman" w:hAnsi="Times New Roman" w:cs="Times New Roman"/>
              </w:rPr>
            </w:pPr>
            <w:r w:rsidRPr="00E204F6">
              <w:rPr>
                <w:rFonts w:ascii="Times New Roman" w:eastAsia="Times New Roman" w:hAnsi="Times New Roman" w:cs="Times New Roman"/>
              </w:rPr>
              <w:t xml:space="preserve">• The </w:t>
            </w:r>
            <w:r w:rsidR="551E9FE5" w:rsidRPr="00E204F6">
              <w:rPr>
                <w:rFonts w:ascii="Times New Roman" w:eastAsia="Times New Roman" w:hAnsi="Times New Roman" w:cs="Times New Roman"/>
              </w:rPr>
              <w:t>PD</w:t>
            </w:r>
            <w:r w:rsidRPr="00E204F6">
              <w:rPr>
                <w:rFonts w:ascii="Times New Roman" w:eastAsia="Times New Roman" w:hAnsi="Times New Roman" w:cs="Times New Roman"/>
              </w:rPr>
              <w:t xml:space="preserve"> utility of 0.627 is based on only 25 patients, making it statistically uncertain. The ERG showed the ICER is sensitive to this parameter (range: £44,600–£55,200 per QALY).</w:t>
            </w:r>
          </w:p>
          <w:p w14:paraId="5AA22F06" w14:textId="046B5AC6" w:rsidR="76C0B922" w:rsidRPr="00E204F6" w:rsidRDefault="76C0B922" w:rsidP="76C0B922">
            <w:pPr>
              <w:spacing w:after="100" w:line="218" w:lineRule="auto"/>
              <w:rPr>
                <w:rFonts w:ascii="Times New Roman" w:eastAsia="Times New Roman" w:hAnsi="Times New Roman" w:cs="Times New Roman"/>
              </w:rPr>
            </w:pPr>
            <w:r w:rsidRPr="00E204F6">
              <w:rPr>
                <w:rFonts w:ascii="Times New Roman" w:eastAsia="Times New Roman" w:hAnsi="Times New Roman" w:cs="Times New Roman"/>
              </w:rPr>
              <w:t>• No vial sharing was assumed. Allowing vial sharing would reduce drug costs for both arms, but the effect on the incremental cost difference is uncertain.</w:t>
            </w:r>
          </w:p>
          <w:p w14:paraId="5199802B" w14:textId="6431D382" w:rsidR="76C0B922" w:rsidRPr="00E204F6" w:rsidRDefault="76C0B922" w:rsidP="76C0B922">
            <w:pPr>
              <w:spacing w:after="100" w:line="218" w:lineRule="auto"/>
              <w:rPr>
                <w:rFonts w:ascii="Times New Roman" w:eastAsia="Times New Roman" w:hAnsi="Times New Roman" w:cs="Times New Roman"/>
              </w:rPr>
            </w:pPr>
            <w:r w:rsidRPr="00E204F6">
              <w:rPr>
                <w:rFonts w:ascii="Times New Roman" w:eastAsia="Times New Roman" w:hAnsi="Times New Roman" w:cs="Times New Roman"/>
              </w:rPr>
              <w:t xml:space="preserve">• Post-progression chemotherapy proportions are based on a very small sample </w:t>
            </w:r>
            <w:r w:rsidRPr="00E204F6">
              <w:rPr>
                <w:rFonts w:ascii="Times New Roman" w:eastAsia="Times New Roman" w:hAnsi="Times New Roman" w:cs="Times New Roman"/>
              </w:rPr>
              <w:lastRenderedPageBreak/>
              <w:t xml:space="preserve">from a UK observational study (6 Docetaxel, 3 Carboplatin-based, 2 </w:t>
            </w:r>
            <w:r w:rsidR="2E1C6553" w:rsidRPr="00E204F6">
              <w:rPr>
                <w:rFonts w:ascii="Times New Roman" w:eastAsia="Times New Roman" w:hAnsi="Times New Roman" w:cs="Times New Roman"/>
              </w:rPr>
              <w:t>Mitoxantrone</w:t>
            </w:r>
            <w:r w:rsidRPr="00E204F6">
              <w:rPr>
                <w:rFonts w:ascii="Times New Roman" w:eastAsia="Times New Roman" w:hAnsi="Times New Roman" w:cs="Times New Roman"/>
              </w:rPr>
              <w:t xml:space="preserve"> out of 11 patients). Different proportions could change PD costs in either direction.</w:t>
            </w:r>
          </w:p>
          <w:p w14:paraId="317EC9B3" w14:textId="18FA9FA1" w:rsidR="76C0B922" w:rsidRPr="00E204F6" w:rsidRDefault="76C0B922" w:rsidP="76C0B922">
            <w:pPr>
              <w:spacing w:after="100" w:line="218" w:lineRule="auto"/>
              <w:rPr>
                <w:rFonts w:ascii="Times New Roman" w:eastAsia="Times New Roman" w:hAnsi="Times New Roman" w:cs="Times New Roman"/>
              </w:rPr>
            </w:pPr>
            <w:r w:rsidRPr="00E204F6">
              <w:rPr>
                <w:rFonts w:ascii="Times New Roman" w:eastAsia="Times New Roman" w:hAnsi="Times New Roman" w:cs="Times New Roman"/>
              </w:rPr>
              <w:t xml:space="preserve">• End-of-life costs are based on an assumed 30 days of palliative care (average for patients aged 19 and over). Actual end-of-life care duration and costs may differ for </w:t>
            </w:r>
            <w:proofErr w:type="spellStart"/>
            <w:r w:rsidRPr="00E204F6">
              <w:rPr>
                <w:rFonts w:ascii="Times New Roman" w:eastAsia="Times New Roman" w:hAnsi="Times New Roman" w:cs="Times New Roman"/>
              </w:rPr>
              <w:t>mCRPC</w:t>
            </w:r>
            <w:proofErr w:type="spellEnd"/>
            <w:r w:rsidRPr="00E204F6">
              <w:rPr>
                <w:rFonts w:ascii="Times New Roman" w:eastAsia="Times New Roman" w:hAnsi="Times New Roman" w:cs="Times New Roman"/>
              </w:rPr>
              <w:t xml:space="preserve"> patients specifically.</w:t>
            </w:r>
          </w:p>
          <w:p w14:paraId="04530CF7" w14:textId="78BEF82C" w:rsidR="76C0B922" w:rsidRPr="00E204F6" w:rsidRDefault="76C0B922" w:rsidP="76C0B922">
            <w:pPr>
              <w:spacing w:after="100" w:line="218" w:lineRule="auto"/>
              <w:rPr>
                <w:rFonts w:ascii="Times New Roman" w:eastAsia="Times New Roman" w:hAnsi="Times New Roman" w:cs="Times New Roman"/>
              </w:rPr>
            </w:pPr>
            <w:r w:rsidRPr="00E204F6">
              <w:rPr>
                <w:rFonts w:ascii="Times New Roman" w:eastAsia="Times New Roman" w:hAnsi="Times New Roman" w:cs="Times New Roman"/>
              </w:rPr>
              <w:t xml:space="preserve">• BSC costs were derived from the ERG report of TA391 (2014/2015 prices) and indexed to 2023/2024. Treatment patterns and costs in </w:t>
            </w:r>
            <w:r w:rsidR="604672F5" w:rsidRPr="00E204F6">
              <w:rPr>
                <w:rFonts w:ascii="Times New Roman" w:eastAsia="Times New Roman" w:hAnsi="Times New Roman" w:cs="Times New Roman"/>
              </w:rPr>
              <w:t>PD</w:t>
            </w:r>
            <w:r w:rsidRPr="00E204F6">
              <w:rPr>
                <w:rFonts w:ascii="Times New Roman" w:eastAsia="Times New Roman" w:hAnsi="Times New Roman" w:cs="Times New Roman"/>
              </w:rPr>
              <w:t xml:space="preserve"> may have changed since then.</w:t>
            </w:r>
          </w:p>
          <w:p w14:paraId="235CA4D6" w14:textId="40081C26" w:rsidR="76C0B922" w:rsidRPr="00E204F6" w:rsidRDefault="76C0B922" w:rsidP="76C0B922">
            <w:pPr>
              <w:spacing w:after="40" w:line="218" w:lineRule="auto"/>
              <w:rPr>
                <w:rFonts w:ascii="Times New Roman" w:eastAsia="Times New Roman" w:hAnsi="Times New Roman" w:cs="Times New Roman"/>
              </w:rPr>
            </w:pPr>
            <w:r w:rsidRPr="00E204F6">
              <w:rPr>
                <w:rFonts w:ascii="Times New Roman" w:eastAsia="Times New Roman" w:hAnsi="Times New Roman" w:cs="Times New Roman"/>
              </w:rPr>
              <w:t>• A lifetime horizon of 15 years was used, which is considered sufficient given the median OS of approximately 15 months. If a small proportion of patients survive beyond this period, some costs and QALYs may not be captured.</w:t>
            </w:r>
          </w:p>
        </w:tc>
      </w:tr>
    </w:tbl>
    <w:p w14:paraId="1315E211" w14:textId="3BC73198" w:rsidR="6D953EEF" w:rsidRPr="00E204F6" w:rsidRDefault="6D953EEF" w:rsidP="76C0B922">
      <w:pPr>
        <w:spacing w:before="80" w:after="200"/>
        <w:rPr>
          <w:rFonts w:ascii="Times New Roman" w:eastAsia="Times New Roman" w:hAnsi="Times New Roman" w:cs="Times New Roman"/>
          <w:i/>
          <w:iCs/>
          <w:sz w:val="20"/>
          <w:szCs w:val="20"/>
        </w:rPr>
      </w:pPr>
      <w:r w:rsidRPr="00E204F6">
        <w:rPr>
          <w:rFonts w:ascii="Times New Roman" w:eastAsia="Times New Roman" w:hAnsi="Times New Roman" w:cs="Times New Roman"/>
          <w:i/>
          <w:iCs/>
          <w:sz w:val="20"/>
          <w:szCs w:val="20"/>
        </w:rPr>
        <w:lastRenderedPageBreak/>
        <w:t xml:space="preserve">Abbreviations: OS, overall survival; PFS, progression-free survival; SD, </w:t>
      </w:r>
      <w:r w:rsidR="6710C38B" w:rsidRPr="00E204F6">
        <w:rPr>
          <w:rFonts w:ascii="Times New Roman" w:eastAsia="Times New Roman" w:hAnsi="Times New Roman" w:cs="Times New Roman"/>
          <w:i/>
          <w:iCs/>
          <w:sz w:val="20"/>
          <w:szCs w:val="20"/>
        </w:rPr>
        <w:t>stable</w:t>
      </w:r>
      <w:r w:rsidRPr="00E204F6">
        <w:rPr>
          <w:rFonts w:ascii="Times New Roman" w:eastAsia="Times New Roman" w:hAnsi="Times New Roman" w:cs="Times New Roman"/>
          <w:i/>
          <w:iCs/>
          <w:sz w:val="20"/>
          <w:szCs w:val="20"/>
        </w:rPr>
        <w:t xml:space="preserve"> disease; PD, progressive disease; AE, adverse event; ICER, incremental cost-effectiveness ratio; QALY, quality-adjusted life year; LY, life year; EAP, Early Access Programme; HRQoL, health-related quality of life; ERG, Evidence Review Group; </w:t>
      </w:r>
      <w:proofErr w:type="spellStart"/>
      <w:r w:rsidRPr="00E204F6">
        <w:rPr>
          <w:rFonts w:ascii="Times New Roman" w:eastAsia="Times New Roman" w:hAnsi="Times New Roman" w:cs="Times New Roman"/>
          <w:i/>
          <w:iCs/>
          <w:sz w:val="20"/>
          <w:szCs w:val="20"/>
        </w:rPr>
        <w:t>eMIT</w:t>
      </w:r>
      <w:proofErr w:type="spellEnd"/>
      <w:r w:rsidRPr="00E204F6">
        <w:rPr>
          <w:rFonts w:ascii="Times New Roman" w:eastAsia="Times New Roman" w:hAnsi="Times New Roman" w:cs="Times New Roman"/>
          <w:i/>
          <w:iCs/>
          <w:sz w:val="20"/>
          <w:szCs w:val="20"/>
        </w:rPr>
        <w:t>, electronic market information tool; HC, healthcare; BSC, best supportive care.</w:t>
      </w:r>
    </w:p>
    <w:p w14:paraId="7F10A574" w14:textId="07FC2659" w:rsidR="76C0B922" w:rsidRPr="00E204F6" w:rsidRDefault="76C0B922" w:rsidP="76C0B922">
      <w:pPr>
        <w:rPr>
          <w:rFonts w:ascii="Times New Roman" w:hAnsi="Times New Roman" w:cs="Times New Roman"/>
        </w:rPr>
      </w:pPr>
    </w:p>
    <w:p w14:paraId="5CC7F541" w14:textId="0F34480D" w:rsidR="4BC0E54E" w:rsidRPr="00E204F6" w:rsidRDefault="4BC0E54E" w:rsidP="4BC0E54E">
      <w:pPr>
        <w:spacing w:line="257" w:lineRule="auto"/>
        <w:rPr>
          <w:rFonts w:ascii="Times New Roman" w:eastAsia="Times New Roman" w:hAnsi="Times New Roman" w:cs="Times New Roman"/>
          <w:sz w:val="24"/>
          <w:szCs w:val="24"/>
        </w:rPr>
      </w:pPr>
    </w:p>
    <w:p w14:paraId="30E9ADDB" w14:textId="2BF6DE34" w:rsidR="4BC0E54E" w:rsidRPr="00E204F6" w:rsidRDefault="4BC0E54E" w:rsidP="4BC0E54E">
      <w:pPr>
        <w:rPr>
          <w:rFonts w:ascii="Times New Roman" w:eastAsia="Times New Roman" w:hAnsi="Times New Roman" w:cs="Times New Roman"/>
          <w:sz w:val="24"/>
          <w:szCs w:val="24"/>
        </w:rPr>
      </w:pPr>
    </w:p>
    <w:p w14:paraId="2F43F6B1" w14:textId="7605AB27" w:rsidR="4BC0E54E" w:rsidRPr="00E204F6" w:rsidRDefault="4BC0E54E" w:rsidP="4BC0E54E">
      <w:pPr>
        <w:spacing w:before="240" w:after="240"/>
        <w:rPr>
          <w:rFonts w:ascii="Times New Roman" w:eastAsia="Times New Roman" w:hAnsi="Times New Roman" w:cs="Times New Roman"/>
          <w:b/>
          <w:bCs/>
          <w:sz w:val="24"/>
          <w:szCs w:val="24"/>
        </w:rPr>
      </w:pPr>
    </w:p>
    <w:p w14:paraId="4ADF148E" w14:textId="62E8EE7D" w:rsidR="003C43CB" w:rsidRPr="00E204F6" w:rsidRDefault="003C43CB" w:rsidP="76C0B922">
      <w:pPr>
        <w:spacing w:before="240" w:after="240"/>
        <w:rPr>
          <w:rFonts w:ascii="Times New Roman" w:eastAsia="Times New Roman" w:hAnsi="Times New Roman" w:cs="Times New Roman"/>
          <w:b/>
          <w:bCs/>
          <w:sz w:val="24"/>
          <w:szCs w:val="24"/>
        </w:rPr>
      </w:pPr>
    </w:p>
    <w:p w14:paraId="043912B8" w14:textId="2FEA90F2" w:rsidR="003C43CB" w:rsidRPr="00E204F6" w:rsidRDefault="003C43CB" w:rsidP="76C0B922">
      <w:pPr>
        <w:spacing w:before="240" w:after="240"/>
        <w:rPr>
          <w:rFonts w:ascii="Times New Roman" w:hAnsi="Times New Roman" w:cs="Times New Roman"/>
        </w:rPr>
      </w:pPr>
      <w:r w:rsidRPr="00E204F6">
        <w:rPr>
          <w:rFonts w:ascii="Times New Roman" w:hAnsi="Times New Roman" w:cs="Times New Roman"/>
        </w:rPr>
        <w:br w:type="page"/>
      </w:r>
    </w:p>
    <w:p w14:paraId="56E7B7F2" w14:textId="274D0AA2" w:rsidR="003C43CB" w:rsidRDefault="622AD871" w:rsidP="76C0B922">
      <w:pPr>
        <w:pStyle w:val="Heading1"/>
        <w:jc w:val="center"/>
        <w:rPr>
          <w:rFonts w:ascii="Times New Roman" w:eastAsia="Times New Roman" w:hAnsi="Times New Roman" w:cs="Times New Roman"/>
          <w:color w:val="auto"/>
          <w:sz w:val="32"/>
          <w:szCs w:val="32"/>
        </w:rPr>
      </w:pPr>
      <w:bookmarkStart w:id="13" w:name="_Toc1858160046"/>
      <w:r w:rsidRPr="30076135">
        <w:rPr>
          <w:rFonts w:ascii="Times New Roman" w:eastAsia="Times New Roman" w:hAnsi="Times New Roman" w:cs="Times New Roman"/>
          <w:color w:val="auto"/>
          <w:sz w:val="32"/>
          <w:szCs w:val="32"/>
        </w:rPr>
        <w:lastRenderedPageBreak/>
        <w:t>APPENDIX</w:t>
      </w:r>
      <w:bookmarkEnd w:id="13"/>
      <w:r w:rsidRPr="30076135">
        <w:rPr>
          <w:rFonts w:ascii="Times New Roman" w:eastAsia="Times New Roman" w:hAnsi="Times New Roman" w:cs="Times New Roman"/>
          <w:color w:val="auto"/>
          <w:sz w:val="32"/>
          <w:szCs w:val="32"/>
        </w:rPr>
        <w:t xml:space="preserve"> </w:t>
      </w:r>
    </w:p>
    <w:p w14:paraId="4F1447AF" w14:textId="77003620" w:rsidR="003C43CB" w:rsidRDefault="12EEEF6C" w:rsidP="76C0B922">
      <w:pPr>
        <w:pStyle w:val="Heading2"/>
        <w:rPr>
          <w:rFonts w:ascii="Times New Roman" w:eastAsia="Times New Roman" w:hAnsi="Times New Roman" w:cs="Times New Roman"/>
          <w:b/>
          <w:bCs/>
          <w:color w:val="auto"/>
          <w:sz w:val="28"/>
          <w:szCs w:val="28"/>
        </w:rPr>
      </w:pPr>
      <w:bookmarkStart w:id="14" w:name="_Toc699813278"/>
      <w:r w:rsidRPr="30076135">
        <w:rPr>
          <w:rFonts w:ascii="Times New Roman" w:eastAsia="Times New Roman" w:hAnsi="Times New Roman" w:cs="Times New Roman"/>
          <w:color w:val="auto"/>
          <w:sz w:val="28"/>
          <w:szCs w:val="28"/>
        </w:rPr>
        <w:t>A</w:t>
      </w:r>
      <w:r w:rsidR="140AACD8" w:rsidRPr="30076135">
        <w:rPr>
          <w:rFonts w:ascii="Times New Roman" w:eastAsia="Times New Roman" w:hAnsi="Times New Roman" w:cs="Times New Roman"/>
          <w:color w:val="auto"/>
          <w:sz w:val="28"/>
          <w:szCs w:val="28"/>
        </w:rPr>
        <w:t>PPENDIX A</w:t>
      </w:r>
      <w:r w:rsidRPr="30076135">
        <w:rPr>
          <w:rFonts w:ascii="Times New Roman" w:eastAsia="Times New Roman" w:hAnsi="Times New Roman" w:cs="Times New Roman"/>
          <w:color w:val="auto"/>
          <w:sz w:val="28"/>
          <w:szCs w:val="28"/>
        </w:rPr>
        <w:t xml:space="preserve"> – Survival curve fitting</w:t>
      </w:r>
      <w:bookmarkEnd w:id="14"/>
    </w:p>
    <w:p w14:paraId="3D884047" w14:textId="0C2A3FF1" w:rsidR="09BE03B4" w:rsidRDefault="09BE03B4" w:rsidP="09BE03B4"/>
    <w:p w14:paraId="31110F8D" w14:textId="532320F6" w:rsidR="003C43CB" w:rsidRDefault="2E331EE9" w:rsidP="440D62A7">
      <w:pPr>
        <w:spacing w:after="0"/>
        <w:ind w:firstLine="720"/>
      </w:pPr>
      <w:r>
        <w:rPr>
          <w:noProof/>
        </w:rPr>
        <w:drawing>
          <wp:anchor distT="0" distB="0" distL="114300" distR="114300" simplePos="0" relativeHeight="251658243" behindDoc="0" locked="0" layoutInCell="1" allowOverlap="1" wp14:anchorId="77A28E4B" wp14:editId="3CF0156C">
            <wp:simplePos x="0" y="0"/>
            <wp:positionH relativeFrom="column">
              <wp:align>left</wp:align>
            </wp:positionH>
            <wp:positionV relativeFrom="paragraph">
              <wp:posOffset>0</wp:posOffset>
            </wp:positionV>
            <wp:extent cx="4247932" cy="3076575"/>
            <wp:effectExtent l="0" t="0" r="635" b="0"/>
            <wp:wrapNone/>
            <wp:docPr id="12928993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90505" name="Picture 194790505"/>
                    <pic:cNvPicPr/>
                  </pic:nvPicPr>
                  <pic:blipFill>
                    <a:blip r:embed="rId30">
                      <a:extLst>
                        <a:ext uri="{28A0092B-C50C-407E-A947-70E740481C1C}">
                          <a14:useLocalDpi xmlns:a14="http://schemas.microsoft.com/office/drawing/2010/main" val="0"/>
                        </a:ext>
                      </a:extLst>
                    </a:blip>
                    <a:stretch>
                      <a:fillRect/>
                    </a:stretch>
                  </pic:blipFill>
                  <pic:spPr>
                    <a:xfrm>
                      <a:off x="0" y="0"/>
                      <a:ext cx="4247932" cy="3076575"/>
                    </a:xfrm>
                    <a:prstGeom prst="rect">
                      <a:avLst/>
                    </a:prstGeom>
                  </pic:spPr>
                </pic:pic>
              </a:graphicData>
            </a:graphic>
            <wp14:sizeRelH relativeFrom="page">
              <wp14:pctWidth>0</wp14:pctWidth>
            </wp14:sizeRelH>
            <wp14:sizeRelV relativeFrom="page">
              <wp14:pctHeight>0</wp14:pctHeight>
            </wp14:sizeRelV>
          </wp:anchor>
        </w:drawing>
      </w:r>
    </w:p>
    <w:p w14:paraId="7F978231" w14:textId="77777777" w:rsidR="00A91F04" w:rsidRDefault="00A91F04" w:rsidP="76C0B922">
      <w:pPr>
        <w:rPr>
          <w:rFonts w:ascii="Times New Roman" w:eastAsia="Times New Roman" w:hAnsi="Times New Roman" w:cs="Times New Roman"/>
          <w:b/>
          <w:bCs/>
          <w:sz w:val="24"/>
          <w:szCs w:val="24"/>
        </w:rPr>
      </w:pPr>
    </w:p>
    <w:p w14:paraId="472421B9" w14:textId="7C22FDAC" w:rsidR="09BE03B4" w:rsidRDefault="09BE03B4" w:rsidP="09BE03B4">
      <w:pPr>
        <w:rPr>
          <w:rFonts w:ascii="Times New Roman" w:eastAsia="Times New Roman" w:hAnsi="Times New Roman" w:cs="Times New Roman"/>
          <w:b/>
          <w:bCs/>
          <w:sz w:val="24"/>
          <w:szCs w:val="24"/>
        </w:rPr>
      </w:pPr>
    </w:p>
    <w:p w14:paraId="49DE9881" w14:textId="124BB491" w:rsidR="09BE03B4" w:rsidRDefault="09BE03B4" w:rsidP="09BE03B4">
      <w:pPr>
        <w:rPr>
          <w:rFonts w:ascii="Times New Roman" w:eastAsia="Times New Roman" w:hAnsi="Times New Roman" w:cs="Times New Roman"/>
          <w:b/>
          <w:bCs/>
          <w:sz w:val="24"/>
          <w:szCs w:val="24"/>
        </w:rPr>
      </w:pPr>
    </w:p>
    <w:p w14:paraId="767252EB" w14:textId="0FF8FE42" w:rsidR="09BE03B4" w:rsidRDefault="09BE03B4" w:rsidP="09BE03B4">
      <w:pPr>
        <w:rPr>
          <w:rFonts w:ascii="Times New Roman" w:eastAsia="Times New Roman" w:hAnsi="Times New Roman" w:cs="Times New Roman"/>
          <w:b/>
          <w:bCs/>
          <w:sz w:val="24"/>
          <w:szCs w:val="24"/>
        </w:rPr>
      </w:pPr>
    </w:p>
    <w:p w14:paraId="36103E1A" w14:textId="56DDF6C2" w:rsidR="09BE03B4" w:rsidRDefault="09BE03B4" w:rsidP="09BE03B4">
      <w:pPr>
        <w:rPr>
          <w:rFonts w:ascii="Times New Roman" w:eastAsia="Times New Roman" w:hAnsi="Times New Roman" w:cs="Times New Roman"/>
          <w:b/>
          <w:bCs/>
          <w:sz w:val="24"/>
          <w:szCs w:val="24"/>
        </w:rPr>
      </w:pPr>
    </w:p>
    <w:p w14:paraId="38279A3E" w14:textId="03540063" w:rsidR="09BE03B4" w:rsidRDefault="09BE03B4" w:rsidP="09BE03B4">
      <w:pPr>
        <w:rPr>
          <w:rFonts w:ascii="Times New Roman" w:eastAsia="Times New Roman" w:hAnsi="Times New Roman" w:cs="Times New Roman"/>
          <w:b/>
          <w:bCs/>
          <w:sz w:val="24"/>
          <w:szCs w:val="24"/>
        </w:rPr>
      </w:pPr>
    </w:p>
    <w:p w14:paraId="7FE71076" w14:textId="461039C1" w:rsidR="09BE03B4" w:rsidRDefault="09BE03B4" w:rsidP="09BE03B4">
      <w:pPr>
        <w:rPr>
          <w:rFonts w:ascii="Times New Roman" w:eastAsia="Times New Roman" w:hAnsi="Times New Roman" w:cs="Times New Roman"/>
          <w:b/>
          <w:bCs/>
          <w:sz w:val="24"/>
          <w:szCs w:val="24"/>
        </w:rPr>
      </w:pPr>
    </w:p>
    <w:p w14:paraId="68DD9570" w14:textId="1C0CAB15" w:rsidR="09BE03B4" w:rsidRDefault="09BE03B4" w:rsidP="09BE03B4">
      <w:pPr>
        <w:rPr>
          <w:rFonts w:ascii="Times New Roman" w:eastAsia="Times New Roman" w:hAnsi="Times New Roman" w:cs="Times New Roman"/>
          <w:b/>
          <w:bCs/>
          <w:sz w:val="24"/>
          <w:szCs w:val="24"/>
        </w:rPr>
      </w:pPr>
    </w:p>
    <w:p w14:paraId="1C6B5B9F" w14:textId="5E46AE08" w:rsidR="09BE03B4" w:rsidRDefault="09BE03B4" w:rsidP="09BE03B4">
      <w:pPr>
        <w:rPr>
          <w:rFonts w:ascii="Times New Roman" w:eastAsia="Times New Roman" w:hAnsi="Times New Roman" w:cs="Times New Roman"/>
          <w:b/>
          <w:bCs/>
          <w:sz w:val="24"/>
          <w:szCs w:val="24"/>
        </w:rPr>
      </w:pPr>
    </w:p>
    <w:p w14:paraId="19AA4C7A" w14:textId="408C3283" w:rsidR="09BE03B4" w:rsidRDefault="09BE03B4" w:rsidP="09BE03B4">
      <w:pPr>
        <w:rPr>
          <w:rFonts w:ascii="Times New Roman" w:eastAsia="Times New Roman" w:hAnsi="Times New Roman" w:cs="Times New Roman"/>
          <w:b/>
          <w:bCs/>
          <w:sz w:val="24"/>
          <w:szCs w:val="24"/>
        </w:rPr>
      </w:pPr>
    </w:p>
    <w:p w14:paraId="2EA5B1F9" w14:textId="5316BCC7" w:rsidR="45FFADC5" w:rsidRDefault="45FFADC5" w:rsidP="09BE03B4">
      <w:pPr>
        <w:rPr>
          <w:rFonts w:ascii="Times New Roman" w:eastAsia="Times New Roman" w:hAnsi="Times New Roman" w:cs="Times New Roman"/>
          <w:b/>
          <w:bCs/>
          <w:sz w:val="24"/>
          <w:szCs w:val="24"/>
        </w:rPr>
      </w:pPr>
      <w:r w:rsidRPr="09BE03B4">
        <w:rPr>
          <w:rFonts w:ascii="Times New Roman" w:eastAsia="Times New Roman" w:hAnsi="Times New Roman" w:cs="Times New Roman"/>
          <w:b/>
          <w:bCs/>
          <w:sz w:val="24"/>
          <w:szCs w:val="24"/>
        </w:rPr>
        <w:t>Figure A1. Observed Kaplan-Meier curve for overall survival with fitted parametric distributions for Cabazitaxel.</w:t>
      </w:r>
    </w:p>
    <w:p w14:paraId="5C2EA61F" w14:textId="3B74BA11" w:rsidR="09BE03B4" w:rsidRDefault="09BE03B4" w:rsidP="09BE03B4">
      <w:pPr>
        <w:rPr>
          <w:rFonts w:ascii="Times New Roman" w:eastAsia="Times New Roman" w:hAnsi="Times New Roman" w:cs="Times New Roman"/>
          <w:b/>
          <w:bCs/>
          <w:sz w:val="24"/>
          <w:szCs w:val="24"/>
        </w:rPr>
      </w:pPr>
    </w:p>
    <w:p w14:paraId="2B4C4700" w14:textId="12737570" w:rsidR="0EC694D7" w:rsidRDefault="00A91F04" w:rsidP="0EC694D7">
      <w:pPr>
        <w:rPr>
          <w:rFonts w:ascii="Times New Roman" w:eastAsia="Times New Roman" w:hAnsi="Times New Roman" w:cs="Times New Roman"/>
          <w:sz w:val="24"/>
          <w:szCs w:val="24"/>
        </w:rPr>
      </w:pPr>
      <w:r>
        <w:rPr>
          <w:noProof/>
        </w:rPr>
        <w:drawing>
          <wp:anchor distT="0" distB="0" distL="114300" distR="114300" simplePos="0" relativeHeight="251658242" behindDoc="0" locked="0" layoutInCell="1" allowOverlap="1" wp14:anchorId="4181E300" wp14:editId="0382F36D">
            <wp:simplePos x="0" y="0"/>
            <wp:positionH relativeFrom="column">
              <wp:posOffset>44450</wp:posOffset>
            </wp:positionH>
            <wp:positionV relativeFrom="paragraph">
              <wp:posOffset>3175</wp:posOffset>
            </wp:positionV>
            <wp:extent cx="4352925" cy="3152616"/>
            <wp:effectExtent l="0" t="0" r="0" b="0"/>
            <wp:wrapSquare wrapText="bothSides"/>
            <wp:docPr id="16491667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803997" name="Picture 259803997"/>
                    <pic:cNvPicPr/>
                  </pic:nvPicPr>
                  <pic:blipFill>
                    <a:blip r:embed="rId31">
                      <a:extLst>
                        <a:ext uri="{28A0092B-C50C-407E-A947-70E740481C1C}">
                          <a14:useLocalDpi xmlns:a14="http://schemas.microsoft.com/office/drawing/2010/main"/>
                        </a:ext>
                      </a:extLst>
                    </a:blip>
                    <a:stretch>
                      <a:fillRect/>
                    </a:stretch>
                  </pic:blipFill>
                  <pic:spPr>
                    <a:xfrm>
                      <a:off x="0" y="0"/>
                      <a:ext cx="4352925" cy="3152616"/>
                    </a:xfrm>
                    <a:prstGeom prst="rect">
                      <a:avLst/>
                    </a:prstGeom>
                  </pic:spPr>
                </pic:pic>
              </a:graphicData>
            </a:graphic>
            <wp14:sizeRelH relativeFrom="page">
              <wp14:pctWidth>0</wp14:pctWidth>
            </wp14:sizeRelH>
            <wp14:sizeRelV relativeFrom="page">
              <wp14:pctHeight>0</wp14:pctHeight>
            </wp14:sizeRelV>
          </wp:anchor>
        </w:drawing>
      </w:r>
    </w:p>
    <w:p w14:paraId="154424D9" w14:textId="2B9681CF" w:rsidR="0EC694D7" w:rsidRDefault="0EC694D7" w:rsidP="0EC694D7">
      <w:pPr>
        <w:rPr>
          <w:rFonts w:ascii="Times New Roman" w:eastAsia="Times New Roman" w:hAnsi="Times New Roman" w:cs="Times New Roman"/>
          <w:sz w:val="24"/>
          <w:szCs w:val="24"/>
        </w:rPr>
      </w:pPr>
    </w:p>
    <w:p w14:paraId="5060F41E" w14:textId="77777777" w:rsidR="00B9615C" w:rsidRDefault="00B9615C" w:rsidP="0EC694D7">
      <w:pPr>
        <w:rPr>
          <w:rFonts w:ascii="Times New Roman" w:eastAsia="Times New Roman" w:hAnsi="Times New Roman" w:cs="Times New Roman"/>
          <w:sz w:val="24"/>
          <w:szCs w:val="24"/>
        </w:rPr>
      </w:pPr>
    </w:p>
    <w:p w14:paraId="428710C7" w14:textId="77777777" w:rsidR="00B9615C" w:rsidRDefault="00B9615C" w:rsidP="0EC694D7">
      <w:pPr>
        <w:rPr>
          <w:rFonts w:ascii="Times New Roman" w:eastAsia="Times New Roman" w:hAnsi="Times New Roman" w:cs="Times New Roman"/>
          <w:sz w:val="24"/>
          <w:szCs w:val="24"/>
        </w:rPr>
      </w:pPr>
    </w:p>
    <w:p w14:paraId="30AE44C5" w14:textId="77777777" w:rsidR="00B9615C" w:rsidRDefault="00B9615C" w:rsidP="0EC694D7">
      <w:pPr>
        <w:rPr>
          <w:rFonts w:ascii="Times New Roman" w:eastAsia="Times New Roman" w:hAnsi="Times New Roman" w:cs="Times New Roman"/>
          <w:sz w:val="24"/>
          <w:szCs w:val="24"/>
        </w:rPr>
      </w:pPr>
    </w:p>
    <w:p w14:paraId="5C3B8126" w14:textId="77777777" w:rsidR="00B9615C" w:rsidRDefault="00B9615C" w:rsidP="0EC694D7">
      <w:pPr>
        <w:rPr>
          <w:rFonts w:ascii="Times New Roman" w:eastAsia="Times New Roman" w:hAnsi="Times New Roman" w:cs="Times New Roman"/>
          <w:sz w:val="24"/>
          <w:szCs w:val="24"/>
        </w:rPr>
      </w:pPr>
    </w:p>
    <w:p w14:paraId="4A090D26" w14:textId="77777777" w:rsidR="00B9615C" w:rsidRDefault="00B9615C" w:rsidP="0EC694D7">
      <w:pPr>
        <w:rPr>
          <w:rFonts w:ascii="Times New Roman" w:eastAsia="Times New Roman" w:hAnsi="Times New Roman" w:cs="Times New Roman"/>
          <w:sz w:val="24"/>
          <w:szCs w:val="24"/>
        </w:rPr>
      </w:pPr>
    </w:p>
    <w:p w14:paraId="0407A6A1" w14:textId="65E8D300" w:rsidR="0EC694D7" w:rsidRDefault="0EC694D7" w:rsidP="0EC694D7">
      <w:pPr>
        <w:rPr>
          <w:rFonts w:ascii="Times New Roman" w:eastAsia="Times New Roman" w:hAnsi="Times New Roman" w:cs="Times New Roman"/>
          <w:sz w:val="24"/>
          <w:szCs w:val="24"/>
        </w:rPr>
      </w:pPr>
    </w:p>
    <w:p w14:paraId="5152012D" w14:textId="77777777" w:rsidR="00B43B2B" w:rsidRDefault="00B43B2B" w:rsidP="0EC694D7">
      <w:pPr>
        <w:rPr>
          <w:rFonts w:ascii="Times New Roman" w:eastAsia="Times New Roman" w:hAnsi="Times New Roman" w:cs="Times New Roman"/>
          <w:sz w:val="24"/>
          <w:szCs w:val="24"/>
        </w:rPr>
      </w:pPr>
    </w:p>
    <w:p w14:paraId="7C32ABFF" w14:textId="77777777" w:rsidR="00B43B2B" w:rsidRDefault="00B43B2B" w:rsidP="0EC694D7">
      <w:pPr>
        <w:rPr>
          <w:rFonts w:ascii="Times New Roman" w:eastAsia="Times New Roman" w:hAnsi="Times New Roman" w:cs="Times New Roman"/>
          <w:sz w:val="24"/>
          <w:szCs w:val="24"/>
        </w:rPr>
      </w:pPr>
    </w:p>
    <w:p w14:paraId="152F692C" w14:textId="77777777" w:rsidR="00B43B2B" w:rsidRDefault="00B43B2B" w:rsidP="0EC694D7">
      <w:pPr>
        <w:rPr>
          <w:rFonts w:ascii="Times New Roman" w:eastAsia="Times New Roman" w:hAnsi="Times New Roman" w:cs="Times New Roman"/>
          <w:sz w:val="24"/>
          <w:szCs w:val="24"/>
        </w:rPr>
      </w:pPr>
    </w:p>
    <w:p w14:paraId="336B3083" w14:textId="77777777" w:rsidR="00B43B2B" w:rsidRDefault="00B43B2B" w:rsidP="00B43B2B">
      <w:pPr>
        <w:rPr>
          <w:rFonts w:ascii="Times New Roman" w:eastAsia="Times New Roman" w:hAnsi="Times New Roman" w:cs="Times New Roman"/>
          <w:b/>
          <w:bCs/>
          <w:sz w:val="24"/>
          <w:szCs w:val="24"/>
        </w:rPr>
      </w:pPr>
      <w:r w:rsidRPr="09BE03B4">
        <w:rPr>
          <w:rFonts w:ascii="Times New Roman" w:eastAsia="Times New Roman" w:hAnsi="Times New Roman" w:cs="Times New Roman"/>
          <w:b/>
          <w:bCs/>
          <w:sz w:val="24"/>
          <w:szCs w:val="24"/>
        </w:rPr>
        <w:t>Figure A2. Observed Kaplan-Meier curve for overall survival with fitted parametric distributions for Mitoxantrone.</w:t>
      </w:r>
    </w:p>
    <w:p w14:paraId="49574126" w14:textId="77777777" w:rsidR="00B43B2B" w:rsidRDefault="00B43B2B" w:rsidP="0EC694D7">
      <w:pPr>
        <w:rPr>
          <w:rFonts w:ascii="Times New Roman" w:eastAsia="Times New Roman" w:hAnsi="Times New Roman" w:cs="Times New Roman"/>
          <w:sz w:val="24"/>
          <w:szCs w:val="24"/>
        </w:rPr>
      </w:pPr>
    </w:p>
    <w:p w14:paraId="58075A3A" w14:textId="516A46F7" w:rsidR="5185A962" w:rsidRDefault="00A91F04" w:rsidP="0EC694D7">
      <w:pPr>
        <w:rPr>
          <w:rFonts w:ascii="Times New Roman" w:eastAsia="Times New Roman" w:hAnsi="Times New Roman" w:cs="Times New Roman"/>
          <w:sz w:val="24"/>
          <w:szCs w:val="24"/>
        </w:rPr>
      </w:pPr>
      <w:r>
        <w:rPr>
          <w:noProof/>
        </w:rPr>
        <w:lastRenderedPageBreak/>
        <w:drawing>
          <wp:inline distT="0" distB="0" distL="0" distR="0" wp14:anchorId="75315DD9" wp14:editId="43D6EAD1">
            <wp:extent cx="4251332" cy="3086100"/>
            <wp:effectExtent l="0" t="0" r="0" b="0"/>
            <wp:docPr id="7243908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307222" name="Picture 1561307222"/>
                    <pic:cNvPicPr/>
                  </pic:nvPicPr>
                  <pic:blipFill>
                    <a:blip r:embed="rId32">
                      <a:extLst>
                        <a:ext uri="{28A0092B-C50C-407E-A947-70E740481C1C}">
                          <a14:useLocalDpi xmlns:a14="http://schemas.microsoft.com/office/drawing/2010/main"/>
                        </a:ext>
                      </a:extLst>
                    </a:blip>
                    <a:stretch>
                      <a:fillRect/>
                    </a:stretch>
                  </pic:blipFill>
                  <pic:spPr>
                    <a:xfrm>
                      <a:off x="0" y="0"/>
                      <a:ext cx="4251332" cy="3086100"/>
                    </a:xfrm>
                    <a:prstGeom prst="rect">
                      <a:avLst/>
                    </a:prstGeom>
                  </pic:spPr>
                </pic:pic>
              </a:graphicData>
            </a:graphic>
          </wp:inline>
        </w:drawing>
      </w:r>
    </w:p>
    <w:p w14:paraId="456AFF40" w14:textId="588ECDD8" w:rsidR="13651FB2" w:rsidRDefault="13651FB2" w:rsidP="09BE03B4">
      <w:pPr>
        <w:spacing w:after="0"/>
        <w:rPr>
          <w:rFonts w:ascii="Times New Roman" w:eastAsia="Times New Roman" w:hAnsi="Times New Roman" w:cs="Times New Roman"/>
          <w:b/>
          <w:bCs/>
          <w:sz w:val="24"/>
          <w:szCs w:val="24"/>
        </w:rPr>
      </w:pPr>
      <w:r w:rsidRPr="09BE03B4">
        <w:rPr>
          <w:rFonts w:ascii="Times New Roman" w:eastAsia="Times New Roman" w:hAnsi="Times New Roman" w:cs="Times New Roman"/>
          <w:b/>
          <w:bCs/>
          <w:sz w:val="24"/>
          <w:szCs w:val="24"/>
        </w:rPr>
        <w:t>Figure A3. Observed Kaplan-Meier curve for progression-free with fitted parametric distributions for Cabazitaxel.</w:t>
      </w:r>
    </w:p>
    <w:p w14:paraId="07379CF0" w14:textId="2DE9D30D" w:rsidR="09BE03B4" w:rsidRDefault="09BE03B4" w:rsidP="09BE03B4">
      <w:pPr>
        <w:rPr>
          <w:rFonts w:ascii="Times New Roman" w:eastAsia="Times New Roman" w:hAnsi="Times New Roman" w:cs="Times New Roman"/>
          <w:b/>
          <w:bCs/>
          <w:sz w:val="24"/>
          <w:szCs w:val="24"/>
        </w:rPr>
      </w:pPr>
    </w:p>
    <w:p w14:paraId="63EA46AD" w14:textId="79D9CFAD" w:rsidR="3AC76631" w:rsidRDefault="00A91F04" w:rsidP="3AC76631">
      <w:pPr>
        <w:spacing w:before="240" w:after="240"/>
        <w:rPr>
          <w:rFonts w:ascii="Times New Roman" w:eastAsia="Times New Roman" w:hAnsi="Times New Roman" w:cs="Times New Roman"/>
          <w:b/>
          <w:bCs/>
          <w:sz w:val="24"/>
          <w:szCs w:val="24"/>
        </w:rPr>
      </w:pPr>
      <w:r>
        <w:rPr>
          <w:noProof/>
        </w:rPr>
        <w:drawing>
          <wp:inline distT="0" distB="0" distL="0" distR="0" wp14:anchorId="34010633" wp14:editId="4B7A23E1">
            <wp:extent cx="4313689" cy="3124200"/>
            <wp:effectExtent l="0" t="0" r="0" b="0"/>
            <wp:docPr id="3292895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573107" name="Picture 1973573107"/>
                    <pic:cNvPicPr/>
                  </pic:nvPicPr>
                  <pic:blipFill>
                    <a:blip r:embed="rId33">
                      <a:extLst>
                        <a:ext uri="{28A0092B-C50C-407E-A947-70E740481C1C}">
                          <a14:useLocalDpi xmlns:a14="http://schemas.microsoft.com/office/drawing/2010/main"/>
                        </a:ext>
                      </a:extLst>
                    </a:blip>
                    <a:stretch>
                      <a:fillRect/>
                    </a:stretch>
                  </pic:blipFill>
                  <pic:spPr>
                    <a:xfrm>
                      <a:off x="0" y="0"/>
                      <a:ext cx="4313689" cy="3124200"/>
                    </a:xfrm>
                    <a:prstGeom prst="rect">
                      <a:avLst/>
                    </a:prstGeom>
                  </pic:spPr>
                </pic:pic>
              </a:graphicData>
            </a:graphic>
          </wp:inline>
        </w:drawing>
      </w:r>
    </w:p>
    <w:p w14:paraId="25B04291" w14:textId="01DD977A" w:rsidR="440D62A7" w:rsidRDefault="770462F9" w:rsidP="09BE03B4">
      <w:pPr>
        <w:spacing w:before="240" w:after="240"/>
        <w:rPr>
          <w:rFonts w:ascii="Times New Roman" w:eastAsia="Times New Roman" w:hAnsi="Times New Roman" w:cs="Times New Roman"/>
          <w:b/>
          <w:bCs/>
          <w:sz w:val="24"/>
          <w:szCs w:val="24"/>
        </w:rPr>
      </w:pPr>
      <w:r w:rsidRPr="09BE03B4">
        <w:rPr>
          <w:rFonts w:ascii="Times New Roman" w:eastAsia="Times New Roman" w:hAnsi="Times New Roman" w:cs="Times New Roman"/>
          <w:b/>
          <w:bCs/>
          <w:sz w:val="24"/>
          <w:szCs w:val="24"/>
        </w:rPr>
        <w:t>Figure A4. Observed Kaplan-Meier curve for progression-free with fitted parametric distributions for Mitoxantrone.</w:t>
      </w:r>
    </w:p>
    <w:p w14:paraId="6839E69D" w14:textId="2765BDDC" w:rsidR="440D62A7" w:rsidRDefault="440D62A7" w:rsidP="440D62A7">
      <w:pPr>
        <w:spacing w:before="240" w:after="240"/>
        <w:rPr>
          <w:rFonts w:ascii="Times New Roman" w:eastAsia="Times New Roman" w:hAnsi="Times New Roman" w:cs="Times New Roman"/>
          <w:b/>
          <w:bCs/>
          <w:sz w:val="24"/>
          <w:szCs w:val="24"/>
        </w:rPr>
      </w:pPr>
    </w:p>
    <w:p w14:paraId="6D5A72DA" w14:textId="55465782" w:rsidR="09BE03B4" w:rsidRDefault="09BE03B4" w:rsidP="09BE03B4">
      <w:pPr>
        <w:spacing w:before="240" w:after="240"/>
        <w:rPr>
          <w:rFonts w:ascii="Times New Roman" w:eastAsia="Times New Roman" w:hAnsi="Times New Roman" w:cs="Times New Roman"/>
          <w:b/>
          <w:bCs/>
          <w:sz w:val="24"/>
          <w:szCs w:val="24"/>
        </w:rPr>
      </w:pPr>
    </w:p>
    <w:p w14:paraId="1CA81856" w14:textId="77777777" w:rsidR="00CC2A34" w:rsidRDefault="00CC2A34" w:rsidP="09BE03B4">
      <w:pPr>
        <w:spacing w:before="240" w:after="240"/>
        <w:rPr>
          <w:rFonts w:ascii="Times New Roman" w:eastAsia="Times New Roman" w:hAnsi="Times New Roman" w:cs="Times New Roman"/>
          <w:b/>
          <w:bCs/>
          <w:sz w:val="24"/>
          <w:szCs w:val="24"/>
        </w:rPr>
      </w:pPr>
    </w:p>
    <w:p w14:paraId="3BEE13F2" w14:textId="02144A41" w:rsidR="2605DC3F" w:rsidRDefault="2605DC3F" w:rsidP="76C0B922">
      <w:pPr>
        <w:pStyle w:val="Heading2"/>
        <w:rPr>
          <w:rFonts w:ascii="Times New Roman" w:eastAsia="Times New Roman" w:hAnsi="Times New Roman" w:cs="Times New Roman"/>
          <w:color w:val="auto"/>
          <w:sz w:val="28"/>
          <w:szCs w:val="28"/>
        </w:rPr>
      </w:pPr>
      <w:bookmarkStart w:id="15" w:name="_Toc1696217125"/>
      <w:r w:rsidRPr="30076135">
        <w:rPr>
          <w:rFonts w:ascii="Times New Roman" w:eastAsia="Times New Roman" w:hAnsi="Times New Roman" w:cs="Times New Roman"/>
          <w:color w:val="auto"/>
          <w:sz w:val="28"/>
          <w:szCs w:val="28"/>
        </w:rPr>
        <w:lastRenderedPageBreak/>
        <w:t>APPENDIX B – Sources of resources use and costs</w:t>
      </w:r>
      <w:bookmarkEnd w:id="15"/>
    </w:p>
    <w:p w14:paraId="53BCF296" w14:textId="7F8DC554" w:rsidR="3A510701" w:rsidRDefault="3A510701" w:rsidP="09BE03B4">
      <w:pPr>
        <w:rPr>
          <w:rFonts w:ascii="Times New Roman" w:eastAsia="Times New Roman" w:hAnsi="Times New Roman" w:cs="Times New Roman"/>
          <w:b/>
          <w:bCs/>
          <w:sz w:val="24"/>
          <w:szCs w:val="24"/>
        </w:rPr>
      </w:pPr>
      <w:r w:rsidRPr="09BE03B4">
        <w:rPr>
          <w:rFonts w:ascii="Times New Roman" w:eastAsia="Times New Roman" w:hAnsi="Times New Roman" w:cs="Times New Roman"/>
          <w:b/>
          <w:bCs/>
          <w:sz w:val="24"/>
          <w:szCs w:val="24"/>
        </w:rPr>
        <w:t>Table</w:t>
      </w:r>
      <w:r w:rsidR="1470538A" w:rsidRPr="09BE03B4">
        <w:rPr>
          <w:rFonts w:ascii="Times New Roman" w:eastAsia="Times New Roman" w:hAnsi="Times New Roman" w:cs="Times New Roman"/>
          <w:b/>
          <w:bCs/>
          <w:sz w:val="24"/>
          <w:szCs w:val="24"/>
        </w:rPr>
        <w:t xml:space="preserve"> B1. </w:t>
      </w:r>
      <w:r w:rsidR="719E2DBF" w:rsidRPr="09BE03B4">
        <w:rPr>
          <w:rFonts w:ascii="Times New Roman" w:eastAsia="Times New Roman" w:hAnsi="Times New Roman" w:cs="Times New Roman"/>
          <w:b/>
          <w:bCs/>
          <w:sz w:val="24"/>
          <w:szCs w:val="24"/>
        </w:rPr>
        <w:t>Sources u</w:t>
      </w:r>
      <w:r w:rsidR="1470538A" w:rsidRPr="09BE03B4">
        <w:rPr>
          <w:rFonts w:ascii="Times New Roman" w:eastAsia="Times New Roman" w:hAnsi="Times New Roman" w:cs="Times New Roman"/>
          <w:b/>
          <w:bCs/>
          <w:sz w:val="24"/>
          <w:szCs w:val="24"/>
        </w:rPr>
        <w:t>nit cost of adverse events</w:t>
      </w:r>
    </w:p>
    <w:tbl>
      <w:tblPr>
        <w:tblStyle w:val="TableGrid"/>
        <w:tblW w:w="0" w:type="auto"/>
        <w:tblLook w:val="06A0" w:firstRow="1" w:lastRow="0" w:firstColumn="1" w:lastColumn="0" w:noHBand="1" w:noVBand="1"/>
      </w:tblPr>
      <w:tblGrid>
        <w:gridCol w:w="2145"/>
        <w:gridCol w:w="6915"/>
      </w:tblGrid>
      <w:tr w:rsidR="76C0B922" w14:paraId="49C8A44E" w14:textId="77777777" w:rsidTr="76C0B922">
        <w:trPr>
          <w:trHeight w:val="300"/>
        </w:trPr>
        <w:tc>
          <w:tcPr>
            <w:tcW w:w="2145" w:type="dxa"/>
          </w:tcPr>
          <w:p w14:paraId="369F412C" w14:textId="0ECF9B43" w:rsidR="06403C02" w:rsidRDefault="06403C02" w:rsidP="76C0B922">
            <w:pPr>
              <w:rPr>
                <w:rFonts w:ascii="Times New Roman" w:eastAsia="Times New Roman" w:hAnsi="Times New Roman" w:cs="Times New Roman"/>
                <w:b/>
                <w:bCs/>
                <w:sz w:val="24"/>
                <w:szCs w:val="24"/>
              </w:rPr>
            </w:pPr>
            <w:r w:rsidRPr="76C0B922">
              <w:rPr>
                <w:rFonts w:ascii="Times New Roman" w:eastAsia="Times New Roman" w:hAnsi="Times New Roman" w:cs="Times New Roman"/>
                <w:b/>
                <w:bCs/>
                <w:sz w:val="24"/>
                <w:szCs w:val="24"/>
              </w:rPr>
              <w:t>Adverse event</w:t>
            </w:r>
          </w:p>
        </w:tc>
        <w:tc>
          <w:tcPr>
            <w:tcW w:w="6915" w:type="dxa"/>
          </w:tcPr>
          <w:p w14:paraId="2B1FDCE5" w14:textId="73E0211D" w:rsidR="06403C02" w:rsidRDefault="06403C02" w:rsidP="76C0B922">
            <w:pPr>
              <w:rPr>
                <w:rFonts w:ascii="Times New Roman" w:eastAsia="Times New Roman" w:hAnsi="Times New Roman" w:cs="Times New Roman"/>
                <w:b/>
                <w:bCs/>
                <w:sz w:val="24"/>
                <w:szCs w:val="24"/>
              </w:rPr>
            </w:pPr>
            <w:r w:rsidRPr="76C0B922">
              <w:rPr>
                <w:rFonts w:ascii="Times New Roman" w:eastAsia="Times New Roman" w:hAnsi="Times New Roman" w:cs="Times New Roman"/>
                <w:b/>
                <w:bCs/>
                <w:sz w:val="24"/>
                <w:szCs w:val="24"/>
              </w:rPr>
              <w:t>Source</w:t>
            </w:r>
          </w:p>
        </w:tc>
      </w:tr>
      <w:tr w:rsidR="76C0B922" w14:paraId="6E954873" w14:textId="77777777" w:rsidTr="76C0B922">
        <w:trPr>
          <w:trHeight w:val="300"/>
        </w:trPr>
        <w:tc>
          <w:tcPr>
            <w:tcW w:w="2145" w:type="dxa"/>
          </w:tcPr>
          <w:p w14:paraId="591EC08E" w14:textId="14844F47" w:rsidR="06403C02" w:rsidRDefault="06403C0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Neutropenia</w:t>
            </w:r>
          </w:p>
        </w:tc>
        <w:tc>
          <w:tcPr>
            <w:tcW w:w="6915" w:type="dxa"/>
          </w:tcPr>
          <w:p w14:paraId="326D53ED" w14:textId="69F92C61" w:rsidR="76C0B922" w:rsidRDefault="76C0B922" w:rsidP="76C0B922">
            <w:pPr>
              <w:spacing w:line="257" w:lineRule="auto"/>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 xml:space="preserve">National Cost Collection 2023/2024: sheet Admitted Patient Care (APC); weighted average of SA35A-E; Day Case; round value </w:t>
            </w:r>
          </w:p>
        </w:tc>
      </w:tr>
      <w:tr w:rsidR="76C0B922" w14:paraId="05CCDE42" w14:textId="77777777" w:rsidTr="76C0B922">
        <w:trPr>
          <w:trHeight w:val="300"/>
        </w:trPr>
        <w:tc>
          <w:tcPr>
            <w:tcW w:w="2145" w:type="dxa"/>
          </w:tcPr>
          <w:p w14:paraId="7F6EDE3E" w14:textId="5C9FF1A8" w:rsidR="06403C02" w:rsidRDefault="06403C0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Febrile neutropenia</w:t>
            </w:r>
          </w:p>
        </w:tc>
        <w:tc>
          <w:tcPr>
            <w:tcW w:w="6915" w:type="dxa"/>
          </w:tcPr>
          <w:p w14:paraId="4BD47898" w14:textId="310C97FD" w:rsidR="76C0B922" w:rsidRDefault="76C0B922" w:rsidP="76C0B922">
            <w:pPr>
              <w:spacing w:line="257" w:lineRule="auto"/>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Talbot at al. 2017 (</w:t>
            </w:r>
            <w:r w:rsidRPr="76C0B922">
              <w:rPr>
                <w:rFonts w:ascii="Times New Roman" w:eastAsia="Times New Roman" w:hAnsi="Times New Roman" w:cs="Times New Roman"/>
                <w:sz w:val="24"/>
                <w:szCs w:val="24"/>
                <w:u w:val="single"/>
              </w:rPr>
              <w:t>2016 price</w:t>
            </w:r>
            <w:r w:rsidRPr="76C0B922">
              <w:rPr>
                <w:rFonts w:ascii="Times New Roman" w:eastAsia="Times New Roman" w:hAnsi="Times New Roman" w:cs="Times New Roman"/>
                <w:sz w:val="24"/>
                <w:szCs w:val="24"/>
              </w:rPr>
              <w:t>); (SD: £2458); source is for costs of neutropenic sepsis, assumed to be the same as febrile neutropenia</w:t>
            </w:r>
          </w:p>
        </w:tc>
      </w:tr>
      <w:tr w:rsidR="76C0B922" w14:paraId="1DD3A8D3" w14:textId="77777777" w:rsidTr="76C0B922">
        <w:trPr>
          <w:trHeight w:val="300"/>
        </w:trPr>
        <w:tc>
          <w:tcPr>
            <w:tcW w:w="2145" w:type="dxa"/>
          </w:tcPr>
          <w:p w14:paraId="3C015024" w14:textId="02C0C1CA" w:rsidR="06403C02" w:rsidRDefault="06403C0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Leukopenia</w:t>
            </w:r>
          </w:p>
        </w:tc>
        <w:tc>
          <w:tcPr>
            <w:tcW w:w="6915" w:type="dxa"/>
          </w:tcPr>
          <w:p w14:paraId="47C02DF9" w14:textId="76641EB0" w:rsidR="76C0B922" w:rsidRDefault="76C0B922" w:rsidP="76C0B922">
            <w:pPr>
              <w:spacing w:line="257" w:lineRule="auto"/>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National Cost Collection 2023/2024: weighted average of SA35A-E; Day Case</w:t>
            </w:r>
          </w:p>
        </w:tc>
      </w:tr>
      <w:tr w:rsidR="76C0B922" w14:paraId="6618AADB" w14:textId="77777777" w:rsidTr="76C0B922">
        <w:trPr>
          <w:trHeight w:val="300"/>
        </w:trPr>
        <w:tc>
          <w:tcPr>
            <w:tcW w:w="2145" w:type="dxa"/>
          </w:tcPr>
          <w:p w14:paraId="29D9757F" w14:textId="6D4A7A44" w:rsidR="06403C02" w:rsidRDefault="06403C0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Anaemia</w:t>
            </w:r>
          </w:p>
        </w:tc>
        <w:tc>
          <w:tcPr>
            <w:tcW w:w="6915" w:type="dxa"/>
          </w:tcPr>
          <w:p w14:paraId="6640E4DD" w14:textId="240634E5" w:rsidR="76C0B922" w:rsidRDefault="76C0B922" w:rsidP="76C0B922">
            <w:pPr>
              <w:spacing w:line="257" w:lineRule="auto"/>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National Cost Collection 2023/2024: weighted average of: SA01G-K, SA03G-H, SA04G-L, SA05G-J; Day Case</w:t>
            </w:r>
          </w:p>
        </w:tc>
      </w:tr>
      <w:tr w:rsidR="76C0B922" w14:paraId="06D9B97A" w14:textId="77777777" w:rsidTr="76C0B922">
        <w:trPr>
          <w:trHeight w:val="300"/>
        </w:trPr>
        <w:tc>
          <w:tcPr>
            <w:tcW w:w="2145" w:type="dxa"/>
          </w:tcPr>
          <w:p w14:paraId="2DE92D78" w14:textId="3F82D790" w:rsidR="06403C02" w:rsidRDefault="06403C0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Diarrhoea</w:t>
            </w:r>
          </w:p>
        </w:tc>
        <w:tc>
          <w:tcPr>
            <w:tcW w:w="6915" w:type="dxa"/>
          </w:tcPr>
          <w:p w14:paraId="2C0A835B" w14:textId="767C616A" w:rsidR="76C0B922" w:rsidRDefault="76C0B922" w:rsidP="76C0B922">
            <w:pPr>
              <w:spacing w:line="257" w:lineRule="auto"/>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National Cost Collection 2023/2024: weighted average of: FD10J-M; Day Case</w:t>
            </w:r>
          </w:p>
        </w:tc>
      </w:tr>
      <w:tr w:rsidR="76C0B922" w14:paraId="0A1D3145" w14:textId="77777777" w:rsidTr="76C0B922">
        <w:trPr>
          <w:trHeight w:val="300"/>
        </w:trPr>
        <w:tc>
          <w:tcPr>
            <w:tcW w:w="2145" w:type="dxa"/>
          </w:tcPr>
          <w:p w14:paraId="1492E5E1" w14:textId="3BEC92A0" w:rsidR="06403C02" w:rsidRDefault="06403C0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Fatigue</w:t>
            </w:r>
          </w:p>
        </w:tc>
        <w:tc>
          <w:tcPr>
            <w:tcW w:w="6915" w:type="dxa"/>
          </w:tcPr>
          <w:p w14:paraId="675E3A07" w14:textId="3BF0459F" w:rsidR="76C0B922" w:rsidRDefault="76C0B922" w:rsidP="76C0B922">
            <w:pPr>
              <w:spacing w:line="257" w:lineRule="auto"/>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National Cost Collection 2023/2024: sheet Admitted Patient Care (APC); weighted average calculated from: SA01G-K; Day Case, round value</w:t>
            </w:r>
          </w:p>
        </w:tc>
      </w:tr>
      <w:tr w:rsidR="76C0B922" w14:paraId="64F49B12" w14:textId="77777777" w:rsidTr="76C0B922">
        <w:trPr>
          <w:trHeight w:val="300"/>
        </w:trPr>
        <w:tc>
          <w:tcPr>
            <w:tcW w:w="2145" w:type="dxa"/>
          </w:tcPr>
          <w:p w14:paraId="04D1F8A7" w14:textId="4D8679B5" w:rsidR="06403C02" w:rsidRDefault="06403C0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Asthenia</w:t>
            </w:r>
          </w:p>
        </w:tc>
        <w:tc>
          <w:tcPr>
            <w:tcW w:w="6915" w:type="dxa"/>
          </w:tcPr>
          <w:p w14:paraId="5550307B" w14:textId="2A16418B" w:rsidR="76C0B922" w:rsidRDefault="76C0B922" w:rsidP="76C0B922">
            <w:pPr>
              <w:spacing w:line="257" w:lineRule="auto"/>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Assumed same as fatigue</w:t>
            </w:r>
          </w:p>
        </w:tc>
      </w:tr>
    </w:tbl>
    <w:p w14:paraId="73582746" w14:textId="291F8A40" w:rsidR="2BCA834C" w:rsidRDefault="2BCA834C" w:rsidP="76C0B922">
      <w:pPr>
        <w:rPr>
          <w:sz w:val="20"/>
          <w:szCs w:val="20"/>
        </w:rPr>
      </w:pPr>
      <w:r w:rsidRPr="76C0B922">
        <w:rPr>
          <w:i/>
          <w:iCs/>
          <w:sz w:val="20"/>
          <w:szCs w:val="20"/>
        </w:rPr>
        <w:t xml:space="preserve">Note: </w:t>
      </w:r>
      <w:r w:rsidRPr="76C0B922">
        <w:rPr>
          <w:sz w:val="20"/>
          <w:szCs w:val="20"/>
        </w:rPr>
        <w:t xml:space="preserve">Detailed information is given about how the unit cost of each adverse event is derived </w:t>
      </w:r>
      <w:r w:rsidR="72C99ECC" w:rsidRPr="76C0B922">
        <w:rPr>
          <w:sz w:val="20"/>
          <w:szCs w:val="20"/>
        </w:rPr>
        <w:t>from the National Cost Collection 2023/2024.</w:t>
      </w:r>
    </w:p>
    <w:p w14:paraId="0816EF97" w14:textId="4DE4D7CD" w:rsidR="3AC76631" w:rsidRDefault="3AC76631" w:rsidP="76C0B922">
      <w:pPr>
        <w:pStyle w:val="Heading2"/>
        <w:rPr>
          <w:rFonts w:ascii="Times New Roman" w:eastAsia="Times New Roman" w:hAnsi="Times New Roman" w:cs="Times New Roman"/>
          <w:color w:val="auto"/>
          <w:sz w:val="28"/>
          <w:szCs w:val="28"/>
        </w:rPr>
      </w:pPr>
    </w:p>
    <w:p w14:paraId="34075FDE" w14:textId="05F5B108" w:rsidR="3AC76631" w:rsidRDefault="3A510701" w:rsidP="09BE03B4">
      <w:pPr>
        <w:rPr>
          <w:rFonts w:ascii="Times New Roman" w:eastAsia="Times New Roman" w:hAnsi="Times New Roman" w:cs="Times New Roman"/>
          <w:b/>
          <w:bCs/>
          <w:sz w:val="24"/>
          <w:szCs w:val="24"/>
        </w:rPr>
      </w:pPr>
      <w:r w:rsidRPr="09BE03B4">
        <w:rPr>
          <w:rFonts w:ascii="Times New Roman" w:eastAsia="Times New Roman" w:hAnsi="Times New Roman" w:cs="Times New Roman"/>
          <w:b/>
          <w:bCs/>
          <w:sz w:val="24"/>
          <w:szCs w:val="24"/>
        </w:rPr>
        <w:t>Table</w:t>
      </w:r>
      <w:r w:rsidR="0885AB51" w:rsidRPr="09BE03B4">
        <w:rPr>
          <w:rFonts w:ascii="Times New Roman" w:eastAsia="Times New Roman" w:hAnsi="Times New Roman" w:cs="Times New Roman"/>
          <w:b/>
          <w:bCs/>
          <w:sz w:val="24"/>
          <w:szCs w:val="24"/>
        </w:rPr>
        <w:t xml:space="preserve"> B2. Sources input values of premedication</w:t>
      </w:r>
    </w:p>
    <w:tbl>
      <w:tblPr>
        <w:tblStyle w:val="TableGrid"/>
        <w:tblW w:w="0" w:type="auto"/>
        <w:tblLook w:val="06A0" w:firstRow="1" w:lastRow="0" w:firstColumn="1" w:lastColumn="0" w:noHBand="1" w:noVBand="1"/>
      </w:tblPr>
      <w:tblGrid>
        <w:gridCol w:w="1734"/>
        <w:gridCol w:w="2055"/>
        <w:gridCol w:w="5271"/>
      </w:tblGrid>
      <w:tr w:rsidR="76C0B922" w14:paraId="02513D74" w14:textId="77777777" w:rsidTr="76C0B922">
        <w:trPr>
          <w:trHeight w:val="300"/>
        </w:trPr>
        <w:tc>
          <w:tcPr>
            <w:tcW w:w="1734" w:type="dxa"/>
          </w:tcPr>
          <w:p w14:paraId="6DE26630" w14:textId="777FF592" w:rsidR="5394C4EC" w:rsidRDefault="5394C4EC" w:rsidP="76C0B922">
            <w:pPr>
              <w:rPr>
                <w:rFonts w:ascii="Times New Roman" w:eastAsia="Times New Roman" w:hAnsi="Times New Roman" w:cs="Times New Roman"/>
                <w:b/>
                <w:bCs/>
                <w:sz w:val="24"/>
                <w:szCs w:val="24"/>
              </w:rPr>
            </w:pPr>
            <w:r w:rsidRPr="76C0B922">
              <w:rPr>
                <w:rFonts w:ascii="Times New Roman" w:eastAsia="Times New Roman" w:hAnsi="Times New Roman" w:cs="Times New Roman"/>
                <w:b/>
                <w:bCs/>
                <w:sz w:val="24"/>
                <w:szCs w:val="24"/>
              </w:rPr>
              <w:t>Premedication</w:t>
            </w:r>
          </w:p>
        </w:tc>
        <w:tc>
          <w:tcPr>
            <w:tcW w:w="2055" w:type="dxa"/>
          </w:tcPr>
          <w:p w14:paraId="17132081" w14:textId="1EE9F245" w:rsidR="13AB30E5" w:rsidRDefault="13AB30E5" w:rsidP="76C0B922">
            <w:pPr>
              <w:rPr>
                <w:rFonts w:ascii="Times New Roman" w:eastAsia="Times New Roman" w:hAnsi="Times New Roman" w:cs="Times New Roman"/>
                <w:b/>
                <w:bCs/>
                <w:sz w:val="24"/>
                <w:szCs w:val="24"/>
              </w:rPr>
            </w:pPr>
            <w:r w:rsidRPr="76C0B922">
              <w:rPr>
                <w:rFonts w:ascii="Times New Roman" w:eastAsia="Times New Roman" w:hAnsi="Times New Roman" w:cs="Times New Roman"/>
                <w:b/>
                <w:bCs/>
                <w:sz w:val="24"/>
                <w:szCs w:val="24"/>
              </w:rPr>
              <w:t>Drug assumed</w:t>
            </w:r>
          </w:p>
        </w:tc>
        <w:tc>
          <w:tcPr>
            <w:tcW w:w="5271" w:type="dxa"/>
          </w:tcPr>
          <w:p w14:paraId="085303F1" w14:textId="73E0211D" w:rsidR="76C0B922" w:rsidRDefault="76C0B922" w:rsidP="76C0B922">
            <w:pPr>
              <w:rPr>
                <w:rFonts w:ascii="Times New Roman" w:eastAsia="Times New Roman" w:hAnsi="Times New Roman" w:cs="Times New Roman"/>
                <w:b/>
                <w:bCs/>
                <w:sz w:val="24"/>
                <w:szCs w:val="24"/>
              </w:rPr>
            </w:pPr>
            <w:r w:rsidRPr="76C0B922">
              <w:rPr>
                <w:rFonts w:ascii="Times New Roman" w:eastAsia="Times New Roman" w:hAnsi="Times New Roman" w:cs="Times New Roman"/>
                <w:b/>
                <w:bCs/>
                <w:sz w:val="24"/>
                <w:szCs w:val="24"/>
              </w:rPr>
              <w:t>Source</w:t>
            </w:r>
          </w:p>
        </w:tc>
      </w:tr>
      <w:tr w:rsidR="76C0B922" w14:paraId="3E1F7DF8" w14:textId="77777777" w:rsidTr="76C0B922">
        <w:trPr>
          <w:trHeight w:val="300"/>
        </w:trPr>
        <w:tc>
          <w:tcPr>
            <w:tcW w:w="1734" w:type="dxa"/>
          </w:tcPr>
          <w:p w14:paraId="2D046624" w14:textId="60BA9809" w:rsidR="2CCCD071" w:rsidRDefault="2CCCD071"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Antihistamine</w:t>
            </w:r>
          </w:p>
        </w:tc>
        <w:tc>
          <w:tcPr>
            <w:tcW w:w="2055" w:type="dxa"/>
          </w:tcPr>
          <w:p w14:paraId="797B5B22" w14:textId="02451485" w:rsidR="088F5B54" w:rsidRDefault="088F5B54" w:rsidP="76C0B922">
            <w:pPr>
              <w:spacing w:line="257" w:lineRule="auto"/>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Chlorphenamine</w:t>
            </w:r>
          </w:p>
        </w:tc>
        <w:tc>
          <w:tcPr>
            <w:tcW w:w="5271" w:type="dxa"/>
          </w:tcPr>
          <w:p w14:paraId="25EE786B" w14:textId="5D0CB331"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 xml:space="preserve">Emit National Database: 1 </w:t>
            </w:r>
            <w:proofErr w:type="spellStart"/>
            <w:r w:rsidRPr="76C0B922">
              <w:rPr>
                <w:rFonts w:ascii="Times New Roman" w:eastAsia="Times New Roman" w:hAnsi="Times New Roman" w:cs="Times New Roman"/>
                <w:sz w:val="24"/>
                <w:szCs w:val="24"/>
              </w:rPr>
              <w:t>july</w:t>
            </w:r>
            <w:proofErr w:type="spellEnd"/>
            <w:r w:rsidRPr="76C0B922">
              <w:rPr>
                <w:rFonts w:ascii="Times New Roman" w:eastAsia="Times New Roman" w:hAnsi="Times New Roman" w:cs="Times New Roman"/>
                <w:sz w:val="24"/>
                <w:szCs w:val="24"/>
              </w:rPr>
              <w:t xml:space="preserve"> 2024- 30 </w:t>
            </w:r>
            <w:proofErr w:type="spellStart"/>
            <w:r w:rsidRPr="76C0B922">
              <w:rPr>
                <w:rFonts w:ascii="Times New Roman" w:eastAsia="Times New Roman" w:hAnsi="Times New Roman" w:cs="Times New Roman"/>
                <w:sz w:val="24"/>
                <w:szCs w:val="24"/>
              </w:rPr>
              <w:t>june</w:t>
            </w:r>
            <w:proofErr w:type="spellEnd"/>
            <w:r w:rsidRPr="76C0B922">
              <w:rPr>
                <w:rFonts w:ascii="Times New Roman" w:eastAsia="Times New Roman" w:hAnsi="Times New Roman" w:cs="Times New Roman"/>
                <w:sz w:val="24"/>
                <w:szCs w:val="24"/>
              </w:rPr>
              <w:t xml:space="preserve"> 2025: Name &amp; Pack Size = </w:t>
            </w:r>
            <w:proofErr w:type="spellStart"/>
            <w:r w:rsidRPr="76C0B922">
              <w:rPr>
                <w:rFonts w:ascii="Times New Roman" w:eastAsia="Times New Roman" w:hAnsi="Times New Roman" w:cs="Times New Roman"/>
                <w:sz w:val="24"/>
                <w:szCs w:val="24"/>
              </w:rPr>
              <w:t>Chlorphenime</w:t>
            </w:r>
            <w:proofErr w:type="spellEnd"/>
          </w:p>
        </w:tc>
      </w:tr>
      <w:tr w:rsidR="76C0B922" w14:paraId="080659E9" w14:textId="77777777" w:rsidTr="76C0B922">
        <w:trPr>
          <w:trHeight w:val="300"/>
        </w:trPr>
        <w:tc>
          <w:tcPr>
            <w:tcW w:w="1734" w:type="dxa"/>
          </w:tcPr>
          <w:p w14:paraId="1843BFEB" w14:textId="68CCC4DF" w:rsidR="59665AF7" w:rsidRDefault="59665AF7"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H2 antagonist</w:t>
            </w:r>
          </w:p>
        </w:tc>
        <w:tc>
          <w:tcPr>
            <w:tcW w:w="2055" w:type="dxa"/>
          </w:tcPr>
          <w:p w14:paraId="0EDCF53E" w14:textId="3AC7CDF1" w:rsidR="3ECFF5E9" w:rsidRDefault="3ECFF5E9" w:rsidP="76C0B922">
            <w:pPr>
              <w:spacing w:line="257" w:lineRule="auto"/>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Cimetidine</w:t>
            </w:r>
          </w:p>
        </w:tc>
        <w:tc>
          <w:tcPr>
            <w:tcW w:w="5271" w:type="dxa"/>
          </w:tcPr>
          <w:p w14:paraId="1E336995" w14:textId="370D1B44"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 xml:space="preserve">Emit National Database: 1 </w:t>
            </w:r>
            <w:proofErr w:type="spellStart"/>
            <w:r w:rsidRPr="76C0B922">
              <w:rPr>
                <w:rFonts w:ascii="Times New Roman" w:eastAsia="Times New Roman" w:hAnsi="Times New Roman" w:cs="Times New Roman"/>
                <w:sz w:val="24"/>
                <w:szCs w:val="24"/>
              </w:rPr>
              <w:t>july</w:t>
            </w:r>
            <w:proofErr w:type="spellEnd"/>
            <w:r w:rsidRPr="76C0B922">
              <w:rPr>
                <w:rFonts w:ascii="Times New Roman" w:eastAsia="Times New Roman" w:hAnsi="Times New Roman" w:cs="Times New Roman"/>
                <w:sz w:val="24"/>
                <w:szCs w:val="24"/>
              </w:rPr>
              <w:t xml:space="preserve"> 2024- 30 </w:t>
            </w:r>
            <w:proofErr w:type="spellStart"/>
            <w:r w:rsidRPr="76C0B922">
              <w:rPr>
                <w:rFonts w:ascii="Times New Roman" w:eastAsia="Times New Roman" w:hAnsi="Times New Roman" w:cs="Times New Roman"/>
                <w:sz w:val="24"/>
                <w:szCs w:val="24"/>
              </w:rPr>
              <w:t>june</w:t>
            </w:r>
            <w:proofErr w:type="spellEnd"/>
            <w:r w:rsidRPr="76C0B922">
              <w:rPr>
                <w:rFonts w:ascii="Times New Roman" w:eastAsia="Times New Roman" w:hAnsi="Times New Roman" w:cs="Times New Roman"/>
                <w:sz w:val="24"/>
                <w:szCs w:val="24"/>
              </w:rPr>
              <w:t xml:space="preserve"> 2025: Name &amp; Pack Size = Cimetidine</w:t>
            </w:r>
          </w:p>
        </w:tc>
      </w:tr>
      <w:tr w:rsidR="76C0B922" w14:paraId="11BB1FAB" w14:textId="77777777" w:rsidTr="76C0B922">
        <w:trPr>
          <w:trHeight w:val="300"/>
        </w:trPr>
        <w:tc>
          <w:tcPr>
            <w:tcW w:w="1734" w:type="dxa"/>
          </w:tcPr>
          <w:p w14:paraId="41796C4C" w14:textId="6A246C01" w:rsidR="577B5BF4" w:rsidRDefault="577B5BF4"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Anti-emetics</w:t>
            </w:r>
          </w:p>
        </w:tc>
        <w:tc>
          <w:tcPr>
            <w:tcW w:w="2055" w:type="dxa"/>
          </w:tcPr>
          <w:p w14:paraId="5257318D" w14:textId="278CA060" w:rsidR="5BB5AA29" w:rsidRDefault="5BB5AA29" w:rsidP="76C0B922">
            <w:pPr>
              <w:spacing w:line="257" w:lineRule="auto"/>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Ondansetron</w:t>
            </w:r>
          </w:p>
        </w:tc>
        <w:tc>
          <w:tcPr>
            <w:tcW w:w="5271" w:type="dxa"/>
          </w:tcPr>
          <w:p w14:paraId="40664BFF" w14:textId="58D4D56E"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 xml:space="preserve">Emit National Database: 1 </w:t>
            </w:r>
            <w:proofErr w:type="spellStart"/>
            <w:r w:rsidRPr="76C0B922">
              <w:rPr>
                <w:rFonts w:ascii="Times New Roman" w:eastAsia="Times New Roman" w:hAnsi="Times New Roman" w:cs="Times New Roman"/>
                <w:sz w:val="24"/>
                <w:szCs w:val="24"/>
              </w:rPr>
              <w:t>july</w:t>
            </w:r>
            <w:proofErr w:type="spellEnd"/>
            <w:r w:rsidRPr="76C0B922">
              <w:rPr>
                <w:rFonts w:ascii="Times New Roman" w:eastAsia="Times New Roman" w:hAnsi="Times New Roman" w:cs="Times New Roman"/>
                <w:sz w:val="24"/>
                <w:szCs w:val="24"/>
              </w:rPr>
              <w:t xml:space="preserve"> 2024- 30 </w:t>
            </w:r>
            <w:proofErr w:type="spellStart"/>
            <w:r w:rsidRPr="76C0B922">
              <w:rPr>
                <w:rFonts w:ascii="Times New Roman" w:eastAsia="Times New Roman" w:hAnsi="Times New Roman" w:cs="Times New Roman"/>
                <w:sz w:val="24"/>
                <w:szCs w:val="24"/>
              </w:rPr>
              <w:t>june</w:t>
            </w:r>
            <w:proofErr w:type="spellEnd"/>
            <w:r w:rsidRPr="76C0B922">
              <w:rPr>
                <w:rFonts w:ascii="Times New Roman" w:eastAsia="Times New Roman" w:hAnsi="Times New Roman" w:cs="Times New Roman"/>
                <w:sz w:val="24"/>
                <w:szCs w:val="24"/>
              </w:rPr>
              <w:t xml:space="preserve"> 2025:</w:t>
            </w:r>
            <w:r w:rsidR="210554F4" w:rsidRPr="76C0B922">
              <w:rPr>
                <w:rFonts w:ascii="Times New Roman" w:eastAsia="Times New Roman" w:hAnsi="Times New Roman" w:cs="Times New Roman"/>
                <w:sz w:val="24"/>
                <w:szCs w:val="24"/>
              </w:rPr>
              <w:t xml:space="preserve"> NPC code</w:t>
            </w:r>
            <w:r w:rsidRPr="76C0B922">
              <w:rPr>
                <w:rFonts w:ascii="Times New Roman" w:eastAsia="Times New Roman" w:hAnsi="Times New Roman" w:cs="Times New Roman"/>
                <w:sz w:val="24"/>
                <w:szCs w:val="24"/>
              </w:rPr>
              <w:t xml:space="preserve"> = </w:t>
            </w:r>
            <w:r w:rsidR="3338AB02" w:rsidRPr="76C0B922">
              <w:rPr>
                <w:rFonts w:ascii="Times New Roman" w:eastAsia="Times New Roman" w:hAnsi="Times New Roman" w:cs="Times New Roman"/>
                <w:sz w:val="24"/>
                <w:szCs w:val="24"/>
              </w:rPr>
              <w:t>DDF029</w:t>
            </w:r>
          </w:p>
        </w:tc>
      </w:tr>
      <w:tr w:rsidR="76C0B922" w14:paraId="68E31281" w14:textId="77777777" w:rsidTr="76C0B922">
        <w:trPr>
          <w:trHeight w:val="300"/>
        </w:trPr>
        <w:tc>
          <w:tcPr>
            <w:tcW w:w="1734" w:type="dxa"/>
          </w:tcPr>
          <w:p w14:paraId="5D761AFB" w14:textId="1472357B" w:rsidR="56E9B705" w:rsidRDefault="56E9B705"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Corticosteroids</w:t>
            </w:r>
          </w:p>
        </w:tc>
        <w:tc>
          <w:tcPr>
            <w:tcW w:w="2055" w:type="dxa"/>
          </w:tcPr>
          <w:p w14:paraId="696A328C" w14:textId="6E723F4A" w:rsidR="7AAFED99" w:rsidRDefault="7AAFED99" w:rsidP="76C0B922">
            <w:pPr>
              <w:spacing w:line="257" w:lineRule="auto"/>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Dexamethasone</w:t>
            </w:r>
          </w:p>
        </w:tc>
        <w:tc>
          <w:tcPr>
            <w:tcW w:w="5271" w:type="dxa"/>
          </w:tcPr>
          <w:p w14:paraId="088C0CA8" w14:textId="3A828CC2"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 xml:space="preserve">Emit National Database: 1 </w:t>
            </w:r>
            <w:proofErr w:type="spellStart"/>
            <w:r w:rsidRPr="76C0B922">
              <w:rPr>
                <w:rFonts w:ascii="Times New Roman" w:eastAsia="Times New Roman" w:hAnsi="Times New Roman" w:cs="Times New Roman"/>
                <w:sz w:val="24"/>
                <w:szCs w:val="24"/>
              </w:rPr>
              <w:t>july</w:t>
            </w:r>
            <w:proofErr w:type="spellEnd"/>
            <w:r w:rsidRPr="76C0B922">
              <w:rPr>
                <w:rFonts w:ascii="Times New Roman" w:eastAsia="Times New Roman" w:hAnsi="Times New Roman" w:cs="Times New Roman"/>
                <w:sz w:val="24"/>
                <w:szCs w:val="24"/>
              </w:rPr>
              <w:t xml:space="preserve"> 2024- 30 </w:t>
            </w:r>
            <w:proofErr w:type="spellStart"/>
            <w:r w:rsidRPr="76C0B922">
              <w:rPr>
                <w:rFonts w:ascii="Times New Roman" w:eastAsia="Times New Roman" w:hAnsi="Times New Roman" w:cs="Times New Roman"/>
                <w:sz w:val="24"/>
                <w:szCs w:val="24"/>
              </w:rPr>
              <w:t>june</w:t>
            </w:r>
            <w:proofErr w:type="spellEnd"/>
            <w:r w:rsidRPr="76C0B922">
              <w:rPr>
                <w:rFonts w:ascii="Times New Roman" w:eastAsia="Times New Roman" w:hAnsi="Times New Roman" w:cs="Times New Roman"/>
                <w:sz w:val="24"/>
                <w:szCs w:val="24"/>
              </w:rPr>
              <w:t xml:space="preserve"> 2025: Name &amp; Pack Size = Dexamethasone</w:t>
            </w:r>
          </w:p>
        </w:tc>
      </w:tr>
      <w:tr w:rsidR="76C0B922" w14:paraId="208CF1E5" w14:textId="77777777" w:rsidTr="76C0B922">
        <w:trPr>
          <w:trHeight w:val="300"/>
        </w:trPr>
        <w:tc>
          <w:tcPr>
            <w:tcW w:w="1734" w:type="dxa"/>
          </w:tcPr>
          <w:p w14:paraId="0932FF52" w14:textId="5680CAC7" w:rsidR="1661B8F4" w:rsidRDefault="1661B8F4"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Prophylaxis</w:t>
            </w:r>
          </w:p>
        </w:tc>
        <w:tc>
          <w:tcPr>
            <w:tcW w:w="2055" w:type="dxa"/>
          </w:tcPr>
          <w:p w14:paraId="20774BA6" w14:textId="6A8DEBDB" w:rsidR="552FE666" w:rsidRDefault="552FE666" w:rsidP="76C0B922">
            <w:pPr>
              <w:spacing w:line="257" w:lineRule="auto"/>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G-SCF</w:t>
            </w:r>
          </w:p>
        </w:tc>
        <w:tc>
          <w:tcPr>
            <w:tcW w:w="5271" w:type="dxa"/>
          </w:tcPr>
          <w:p w14:paraId="08C1CD40" w14:textId="36810102" w:rsidR="765443C8" w:rsidRDefault="765443C8" w:rsidP="76C0B922">
            <w:pPr>
              <w:spacing w:line="257" w:lineRule="auto"/>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Given in the AHEM assignment</w:t>
            </w:r>
          </w:p>
        </w:tc>
      </w:tr>
    </w:tbl>
    <w:p w14:paraId="6ECE575A" w14:textId="51A578FA" w:rsidR="3AC76631" w:rsidRDefault="0885AB51" w:rsidP="76C0B922">
      <w:pPr>
        <w:rPr>
          <w:sz w:val="20"/>
          <w:szCs w:val="20"/>
        </w:rPr>
      </w:pPr>
      <w:r w:rsidRPr="76C0B922">
        <w:rPr>
          <w:i/>
          <w:iCs/>
          <w:sz w:val="20"/>
          <w:szCs w:val="20"/>
        </w:rPr>
        <w:t xml:space="preserve">Note: </w:t>
      </w:r>
      <w:r w:rsidRPr="76C0B922">
        <w:rPr>
          <w:sz w:val="20"/>
          <w:szCs w:val="20"/>
        </w:rPr>
        <w:t xml:space="preserve">Detailed information is given about how the </w:t>
      </w:r>
      <w:r w:rsidR="625231A0" w:rsidRPr="76C0B922">
        <w:rPr>
          <w:sz w:val="20"/>
          <w:szCs w:val="20"/>
        </w:rPr>
        <w:t>input values</w:t>
      </w:r>
      <w:r w:rsidRPr="76C0B922">
        <w:rPr>
          <w:sz w:val="20"/>
          <w:szCs w:val="20"/>
        </w:rPr>
        <w:t xml:space="preserve"> of each </w:t>
      </w:r>
      <w:r w:rsidR="7F6193A7" w:rsidRPr="76C0B922">
        <w:rPr>
          <w:sz w:val="20"/>
          <w:szCs w:val="20"/>
        </w:rPr>
        <w:t>premedication</w:t>
      </w:r>
      <w:r w:rsidRPr="76C0B922">
        <w:rPr>
          <w:sz w:val="20"/>
          <w:szCs w:val="20"/>
        </w:rPr>
        <w:t xml:space="preserve"> is derived from the </w:t>
      </w:r>
      <w:proofErr w:type="spellStart"/>
      <w:r w:rsidR="7B3EAABA" w:rsidRPr="76C0B922">
        <w:rPr>
          <w:sz w:val="20"/>
          <w:szCs w:val="20"/>
        </w:rPr>
        <w:t>eMIT</w:t>
      </w:r>
      <w:proofErr w:type="spellEnd"/>
      <w:r w:rsidR="02B8F0B6" w:rsidRPr="76C0B922">
        <w:rPr>
          <w:sz w:val="20"/>
          <w:szCs w:val="20"/>
        </w:rPr>
        <w:t xml:space="preserve"> (except from Prophylaxis)</w:t>
      </w:r>
      <w:r w:rsidR="7B3EAABA" w:rsidRPr="76C0B922">
        <w:rPr>
          <w:sz w:val="20"/>
          <w:szCs w:val="20"/>
        </w:rPr>
        <w:t>.</w:t>
      </w:r>
    </w:p>
    <w:p w14:paraId="339C7086" w14:textId="775368C8" w:rsidR="3AC76631" w:rsidRDefault="3AC76631" w:rsidP="76C0B922"/>
    <w:p w14:paraId="61600557" w14:textId="44EBD482" w:rsidR="09BE03B4" w:rsidRDefault="09BE03B4"/>
    <w:p w14:paraId="59C0F0EB" w14:textId="27116B57" w:rsidR="09BE03B4" w:rsidRDefault="09BE03B4"/>
    <w:p w14:paraId="232C498A" w14:textId="1553071C" w:rsidR="09BE03B4" w:rsidRDefault="09BE03B4"/>
    <w:p w14:paraId="42EDD753" w14:textId="420D97A8" w:rsidR="09BE03B4" w:rsidRDefault="09BE03B4"/>
    <w:p w14:paraId="63944795" w14:textId="6CA006F4" w:rsidR="09BE03B4" w:rsidRDefault="09BE03B4"/>
    <w:p w14:paraId="35C90B88" w14:textId="3ACF0029" w:rsidR="09BE03B4" w:rsidRDefault="09BE03B4"/>
    <w:p w14:paraId="01C63750" w14:textId="196D38C0" w:rsidR="09BE03B4" w:rsidRDefault="09BE03B4"/>
    <w:p w14:paraId="58605050" w14:textId="674D113F" w:rsidR="3AC76631" w:rsidRDefault="3A510701" w:rsidP="09BE03B4">
      <w:pPr>
        <w:rPr>
          <w:rFonts w:ascii="Times New Roman" w:eastAsia="Times New Roman" w:hAnsi="Times New Roman" w:cs="Times New Roman"/>
          <w:b/>
          <w:bCs/>
          <w:sz w:val="24"/>
          <w:szCs w:val="24"/>
        </w:rPr>
      </w:pPr>
      <w:r w:rsidRPr="09BE03B4">
        <w:rPr>
          <w:rFonts w:ascii="Times New Roman" w:eastAsia="Times New Roman" w:hAnsi="Times New Roman" w:cs="Times New Roman"/>
          <w:b/>
          <w:bCs/>
          <w:sz w:val="24"/>
          <w:szCs w:val="24"/>
        </w:rPr>
        <w:lastRenderedPageBreak/>
        <w:t>Table</w:t>
      </w:r>
      <w:r w:rsidR="09A0C55D" w:rsidRPr="09BE03B4">
        <w:rPr>
          <w:rFonts w:ascii="Times New Roman" w:eastAsia="Times New Roman" w:hAnsi="Times New Roman" w:cs="Times New Roman"/>
          <w:b/>
          <w:bCs/>
          <w:sz w:val="24"/>
          <w:szCs w:val="24"/>
        </w:rPr>
        <w:t xml:space="preserve"> B3. Sources </w:t>
      </w:r>
      <w:r w:rsidR="41A87380" w:rsidRPr="09BE03B4">
        <w:rPr>
          <w:rFonts w:ascii="Times New Roman" w:eastAsia="Times New Roman" w:hAnsi="Times New Roman" w:cs="Times New Roman"/>
          <w:b/>
          <w:bCs/>
          <w:sz w:val="24"/>
          <w:szCs w:val="24"/>
        </w:rPr>
        <w:t>health care resource use unit costs</w:t>
      </w:r>
    </w:p>
    <w:tbl>
      <w:tblPr>
        <w:tblStyle w:val="TableGrid"/>
        <w:tblW w:w="0" w:type="auto"/>
        <w:tblLook w:val="06A0" w:firstRow="1" w:lastRow="0" w:firstColumn="1" w:lastColumn="0" w:noHBand="1" w:noVBand="1"/>
      </w:tblPr>
      <w:tblGrid>
        <w:gridCol w:w="2145"/>
        <w:gridCol w:w="6915"/>
      </w:tblGrid>
      <w:tr w:rsidR="76C0B922" w14:paraId="7277CED3" w14:textId="77777777" w:rsidTr="76C0B922">
        <w:trPr>
          <w:trHeight w:val="300"/>
        </w:trPr>
        <w:tc>
          <w:tcPr>
            <w:tcW w:w="2145" w:type="dxa"/>
          </w:tcPr>
          <w:p w14:paraId="75831672" w14:textId="0635DE9A" w:rsidR="41A87380" w:rsidRDefault="41A87380" w:rsidP="76C0B922">
            <w:pPr>
              <w:rPr>
                <w:rFonts w:ascii="Times New Roman" w:eastAsia="Times New Roman" w:hAnsi="Times New Roman" w:cs="Times New Roman"/>
                <w:b/>
                <w:bCs/>
                <w:sz w:val="24"/>
                <w:szCs w:val="24"/>
              </w:rPr>
            </w:pPr>
            <w:r w:rsidRPr="76C0B922">
              <w:rPr>
                <w:rFonts w:ascii="Times New Roman" w:eastAsia="Times New Roman" w:hAnsi="Times New Roman" w:cs="Times New Roman"/>
                <w:b/>
                <w:bCs/>
                <w:sz w:val="24"/>
                <w:szCs w:val="24"/>
              </w:rPr>
              <w:t>Resource item</w:t>
            </w:r>
          </w:p>
        </w:tc>
        <w:tc>
          <w:tcPr>
            <w:tcW w:w="6915" w:type="dxa"/>
          </w:tcPr>
          <w:p w14:paraId="674EE07C" w14:textId="73E0211D" w:rsidR="76C0B922" w:rsidRDefault="76C0B922" w:rsidP="76C0B922">
            <w:pPr>
              <w:rPr>
                <w:rFonts w:ascii="Times New Roman" w:eastAsia="Times New Roman" w:hAnsi="Times New Roman" w:cs="Times New Roman"/>
                <w:b/>
                <w:bCs/>
                <w:sz w:val="24"/>
                <w:szCs w:val="24"/>
              </w:rPr>
            </w:pPr>
            <w:r w:rsidRPr="76C0B922">
              <w:rPr>
                <w:rFonts w:ascii="Times New Roman" w:eastAsia="Times New Roman" w:hAnsi="Times New Roman" w:cs="Times New Roman"/>
                <w:b/>
                <w:bCs/>
                <w:sz w:val="24"/>
                <w:szCs w:val="24"/>
              </w:rPr>
              <w:t>Source</w:t>
            </w:r>
          </w:p>
        </w:tc>
      </w:tr>
      <w:tr w:rsidR="76C0B922" w14:paraId="0FB470E1" w14:textId="77777777" w:rsidTr="76C0B922">
        <w:trPr>
          <w:trHeight w:val="300"/>
        </w:trPr>
        <w:tc>
          <w:tcPr>
            <w:tcW w:w="2145" w:type="dxa"/>
          </w:tcPr>
          <w:p w14:paraId="694C138E" w14:textId="70D8EBF3"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 xml:space="preserve">Clinical oncologist </w:t>
            </w:r>
          </w:p>
        </w:tc>
        <w:tc>
          <w:tcPr>
            <w:tcW w:w="6915" w:type="dxa"/>
          </w:tcPr>
          <w:p w14:paraId="470CA622" w14:textId="0407EC30"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 xml:space="preserve">Summary: Outpatient Attendance:  Currency: WF01A: Non-Admitted Face-to-Face Attendance, Follow-up; Service code 370: Medical Oncology Service – Consultant led </w:t>
            </w:r>
          </w:p>
        </w:tc>
      </w:tr>
      <w:tr w:rsidR="76C0B922" w14:paraId="52C6BB08" w14:textId="77777777" w:rsidTr="76C0B922">
        <w:trPr>
          <w:trHeight w:val="300"/>
        </w:trPr>
        <w:tc>
          <w:tcPr>
            <w:tcW w:w="2145" w:type="dxa"/>
          </w:tcPr>
          <w:p w14:paraId="27A73387" w14:textId="04302D5C"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Urologist</w:t>
            </w:r>
          </w:p>
        </w:tc>
        <w:tc>
          <w:tcPr>
            <w:tcW w:w="6915" w:type="dxa"/>
          </w:tcPr>
          <w:p w14:paraId="5624CF55" w14:textId="2B98D508"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Summary: Outpatient Attendance:   Consultant-led; WF01A: Non-Admitted Face-to-Face Attendance, Follow-up; Service code 101: Urology</w:t>
            </w:r>
          </w:p>
        </w:tc>
      </w:tr>
      <w:tr w:rsidR="76C0B922" w14:paraId="1FCB8998" w14:textId="77777777" w:rsidTr="76C0B922">
        <w:trPr>
          <w:trHeight w:val="300"/>
        </w:trPr>
        <w:tc>
          <w:tcPr>
            <w:tcW w:w="2145" w:type="dxa"/>
          </w:tcPr>
          <w:p w14:paraId="3610C7F5" w14:textId="2DC1B7C1"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Oncology/ General / Urology ward</w:t>
            </w:r>
          </w:p>
        </w:tc>
        <w:tc>
          <w:tcPr>
            <w:tcW w:w="6915" w:type="dxa"/>
          </w:tcPr>
          <w:p w14:paraId="7C12C6C3" w14:textId="5DCA612D"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Summary: HRG Costs: Non-elective Inpatient Short Stay; Weighted average of currency codes LB06H, LB06J, LB06K, LB06L, LB06M, LB06N, LB06P, LB06Q, LB06R, LB06S</w:t>
            </w:r>
          </w:p>
        </w:tc>
      </w:tr>
      <w:tr w:rsidR="76C0B922" w14:paraId="15E1C3AF" w14:textId="77777777" w:rsidTr="76C0B922">
        <w:trPr>
          <w:trHeight w:val="300"/>
        </w:trPr>
        <w:tc>
          <w:tcPr>
            <w:tcW w:w="2145" w:type="dxa"/>
          </w:tcPr>
          <w:p w14:paraId="1C5056DA" w14:textId="7EBD27FC"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CT Scan</w:t>
            </w:r>
          </w:p>
        </w:tc>
        <w:tc>
          <w:tcPr>
            <w:tcW w:w="6915" w:type="dxa"/>
          </w:tcPr>
          <w:p w14:paraId="664A5765" w14:textId="7863D5CA"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Total HRGs; RD22Z: Computerised Tomography Scan, one area, pre and post contrast, Total</w:t>
            </w:r>
          </w:p>
        </w:tc>
      </w:tr>
      <w:tr w:rsidR="76C0B922" w14:paraId="4D260B7E" w14:textId="77777777" w:rsidTr="76C0B922">
        <w:trPr>
          <w:trHeight w:val="300"/>
        </w:trPr>
        <w:tc>
          <w:tcPr>
            <w:tcW w:w="2145" w:type="dxa"/>
          </w:tcPr>
          <w:p w14:paraId="7C6DFDF7" w14:textId="05D76A90"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MRI</w:t>
            </w:r>
          </w:p>
        </w:tc>
        <w:tc>
          <w:tcPr>
            <w:tcW w:w="6915" w:type="dxa"/>
          </w:tcPr>
          <w:p w14:paraId="04CA9694" w14:textId="405AB450"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Total HRGs; RD03Z: Magnetic Resonance Imaging Scan of one area, with pre and post contrast, directly accessed</w:t>
            </w:r>
          </w:p>
        </w:tc>
      </w:tr>
      <w:tr w:rsidR="76C0B922" w14:paraId="4B479680" w14:textId="77777777" w:rsidTr="76C0B922">
        <w:trPr>
          <w:trHeight w:val="300"/>
        </w:trPr>
        <w:tc>
          <w:tcPr>
            <w:tcW w:w="2145" w:type="dxa"/>
          </w:tcPr>
          <w:p w14:paraId="73F3DF44" w14:textId="71D7F998"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bone scan</w:t>
            </w:r>
          </w:p>
        </w:tc>
        <w:tc>
          <w:tcPr>
            <w:tcW w:w="6915" w:type="dxa"/>
          </w:tcPr>
          <w:p w14:paraId="55C335D6" w14:textId="674063F6"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Total HRGs; RN15A: Nuclear Bone Scan of Two or Three Phases, 19 years and over, directly accessed</w:t>
            </w:r>
          </w:p>
        </w:tc>
      </w:tr>
      <w:tr w:rsidR="76C0B922" w14:paraId="7DE610B6" w14:textId="77777777" w:rsidTr="76C0B922">
        <w:trPr>
          <w:trHeight w:val="300"/>
        </w:trPr>
        <w:tc>
          <w:tcPr>
            <w:tcW w:w="2145" w:type="dxa"/>
          </w:tcPr>
          <w:p w14:paraId="3A234908" w14:textId="4CF08CBD"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Ultrasound</w:t>
            </w:r>
          </w:p>
        </w:tc>
        <w:tc>
          <w:tcPr>
            <w:tcW w:w="6915" w:type="dxa"/>
          </w:tcPr>
          <w:p w14:paraId="032A4469" w14:textId="7219FE34"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Total HRGs; Weighted average of RD40Z, RD41Z, RD42Z, RD43Z, directly accessed</w:t>
            </w:r>
          </w:p>
        </w:tc>
      </w:tr>
      <w:tr w:rsidR="76C0B922" w14:paraId="2E58C663" w14:textId="77777777" w:rsidTr="76C0B922">
        <w:trPr>
          <w:trHeight w:val="300"/>
        </w:trPr>
        <w:tc>
          <w:tcPr>
            <w:tcW w:w="2145" w:type="dxa"/>
          </w:tcPr>
          <w:p w14:paraId="6415E7A5" w14:textId="430B86F9"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X-ray</w:t>
            </w:r>
          </w:p>
        </w:tc>
        <w:tc>
          <w:tcPr>
            <w:tcW w:w="6915" w:type="dxa"/>
          </w:tcPr>
          <w:p w14:paraId="7F61FB1E" w14:textId="6378621A"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Other Currencies; PF: Plain Film, directly accessed</w:t>
            </w:r>
          </w:p>
        </w:tc>
      </w:tr>
      <w:tr w:rsidR="76C0B922" w14:paraId="134592E1" w14:textId="77777777" w:rsidTr="76C0B922">
        <w:trPr>
          <w:trHeight w:val="300"/>
        </w:trPr>
        <w:tc>
          <w:tcPr>
            <w:tcW w:w="2145" w:type="dxa"/>
          </w:tcPr>
          <w:p w14:paraId="5CCC57D1" w14:textId="65FF2F23"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Complete blood count</w:t>
            </w:r>
          </w:p>
        </w:tc>
        <w:tc>
          <w:tcPr>
            <w:tcW w:w="6915" w:type="dxa"/>
          </w:tcPr>
          <w:p w14:paraId="00B5E714" w14:textId="7AA85857"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Directly Accessed Pathology Services; PATH05 - Haematology</w:t>
            </w:r>
          </w:p>
        </w:tc>
      </w:tr>
      <w:tr w:rsidR="76C0B922" w14:paraId="131AD45D" w14:textId="77777777" w:rsidTr="76C0B922">
        <w:trPr>
          <w:trHeight w:val="300"/>
        </w:trPr>
        <w:tc>
          <w:tcPr>
            <w:tcW w:w="2145" w:type="dxa"/>
          </w:tcPr>
          <w:p w14:paraId="37878CB9" w14:textId="70F709D2"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Chemistry panel</w:t>
            </w:r>
          </w:p>
        </w:tc>
        <w:tc>
          <w:tcPr>
            <w:tcW w:w="6915" w:type="dxa"/>
          </w:tcPr>
          <w:p w14:paraId="41A01068" w14:textId="793AB9FD"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Directly Accessed Pathology Services; PATH02 – Clinical Chemistry</w:t>
            </w:r>
          </w:p>
        </w:tc>
      </w:tr>
      <w:tr w:rsidR="76C0B922" w14:paraId="6D86AF9B" w14:textId="77777777" w:rsidTr="76C0B922">
        <w:trPr>
          <w:trHeight w:val="300"/>
        </w:trPr>
        <w:tc>
          <w:tcPr>
            <w:tcW w:w="2145" w:type="dxa"/>
          </w:tcPr>
          <w:p w14:paraId="27CE9C48" w14:textId="30478139"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Liver function test</w:t>
            </w:r>
          </w:p>
        </w:tc>
        <w:tc>
          <w:tcPr>
            <w:tcW w:w="6915" w:type="dxa"/>
          </w:tcPr>
          <w:p w14:paraId="7F5D263E" w14:textId="313D8BB6"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Directly Accessed Pathology Services; PATH08 - Phlebotomy</w:t>
            </w:r>
          </w:p>
        </w:tc>
      </w:tr>
      <w:tr w:rsidR="76C0B922" w14:paraId="09423DBA" w14:textId="77777777" w:rsidTr="76C0B922">
        <w:trPr>
          <w:trHeight w:val="300"/>
        </w:trPr>
        <w:tc>
          <w:tcPr>
            <w:tcW w:w="2145" w:type="dxa"/>
          </w:tcPr>
          <w:p w14:paraId="2511E010" w14:textId="5274FFC9"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PSA</w:t>
            </w:r>
          </w:p>
        </w:tc>
        <w:tc>
          <w:tcPr>
            <w:tcW w:w="6915" w:type="dxa"/>
          </w:tcPr>
          <w:p w14:paraId="11742EAA" w14:textId="2A5781FB"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Directly Accessed Pathology Services; PATH02 – Clinical Chemistry</w:t>
            </w:r>
          </w:p>
        </w:tc>
      </w:tr>
      <w:tr w:rsidR="76C0B922" w14:paraId="679026A1" w14:textId="77777777" w:rsidTr="76C0B922">
        <w:trPr>
          <w:trHeight w:val="300"/>
        </w:trPr>
        <w:tc>
          <w:tcPr>
            <w:tcW w:w="2145" w:type="dxa"/>
          </w:tcPr>
          <w:p w14:paraId="2020E624" w14:textId="65B53E47"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ECG</w:t>
            </w:r>
          </w:p>
        </w:tc>
        <w:tc>
          <w:tcPr>
            <w:tcW w:w="6915" w:type="dxa"/>
          </w:tcPr>
          <w:p w14:paraId="316B6A4D" w14:textId="74EBB1B7"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Total HRGs tab; EY51Z: Electrocardiogram Monitoring or Stress Testing, total</w:t>
            </w:r>
          </w:p>
        </w:tc>
      </w:tr>
      <w:tr w:rsidR="76C0B922" w14:paraId="700790C9" w14:textId="77777777" w:rsidTr="76C0B922">
        <w:trPr>
          <w:trHeight w:val="300"/>
        </w:trPr>
        <w:tc>
          <w:tcPr>
            <w:tcW w:w="2145" w:type="dxa"/>
          </w:tcPr>
          <w:p w14:paraId="776E5357" w14:textId="0C7D92C7"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Echocardiogram</w:t>
            </w:r>
          </w:p>
        </w:tc>
        <w:tc>
          <w:tcPr>
            <w:tcW w:w="6915" w:type="dxa"/>
          </w:tcPr>
          <w:p w14:paraId="5859DB6A" w14:textId="384EDA08" w:rsidR="76C0B922" w:rsidRDefault="76C0B922"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Total HRGs; RD51A: Simple Echocardiogram, 19 years and over</w:t>
            </w:r>
          </w:p>
        </w:tc>
      </w:tr>
    </w:tbl>
    <w:p w14:paraId="54F695AC" w14:textId="62779F4B" w:rsidR="3AC76631" w:rsidRDefault="09A0C55D" w:rsidP="76C0B922">
      <w:pPr>
        <w:spacing w:before="240" w:after="240"/>
        <w:rPr>
          <w:sz w:val="20"/>
          <w:szCs w:val="20"/>
        </w:rPr>
      </w:pPr>
      <w:r w:rsidRPr="76C0B922">
        <w:rPr>
          <w:i/>
          <w:iCs/>
          <w:sz w:val="20"/>
          <w:szCs w:val="20"/>
        </w:rPr>
        <w:t xml:space="preserve">Note: </w:t>
      </w:r>
      <w:r w:rsidRPr="76C0B922">
        <w:rPr>
          <w:sz w:val="20"/>
          <w:szCs w:val="20"/>
        </w:rPr>
        <w:t xml:space="preserve">Detailed information is given about how the unit cost of each </w:t>
      </w:r>
      <w:r w:rsidR="2A22109F" w:rsidRPr="76C0B922">
        <w:rPr>
          <w:sz w:val="20"/>
          <w:szCs w:val="20"/>
        </w:rPr>
        <w:t>health care resource use</w:t>
      </w:r>
      <w:r w:rsidRPr="76C0B922">
        <w:rPr>
          <w:sz w:val="20"/>
          <w:szCs w:val="20"/>
        </w:rPr>
        <w:t xml:space="preserve"> is derived from the National Cost Collection 2023/2024.</w:t>
      </w:r>
    </w:p>
    <w:p w14:paraId="611B1669" w14:textId="77777777" w:rsidR="00A91F04" w:rsidRDefault="00A91F04" w:rsidP="76C0B922">
      <w:pPr>
        <w:pStyle w:val="Heading2"/>
        <w:rPr>
          <w:rFonts w:ascii="Times New Roman" w:eastAsia="Times New Roman" w:hAnsi="Times New Roman" w:cs="Times New Roman"/>
          <w:color w:val="auto"/>
          <w:sz w:val="28"/>
          <w:szCs w:val="28"/>
        </w:rPr>
      </w:pPr>
    </w:p>
    <w:p w14:paraId="3F959AD9" w14:textId="06684993" w:rsidR="3AC76631" w:rsidRDefault="3AC76631" w:rsidP="09BE03B4">
      <w:pPr>
        <w:pStyle w:val="Heading2"/>
        <w:rPr>
          <w:rFonts w:ascii="Times New Roman" w:eastAsia="Times New Roman" w:hAnsi="Times New Roman" w:cs="Times New Roman"/>
          <w:color w:val="auto"/>
          <w:sz w:val="28"/>
          <w:szCs w:val="28"/>
        </w:rPr>
      </w:pPr>
    </w:p>
    <w:p w14:paraId="1AF7D0A9" w14:textId="5F408411" w:rsidR="3AC76631" w:rsidRDefault="628D3BFE" w:rsidP="09BE03B4">
      <w:r>
        <w:br w:type="page"/>
      </w:r>
    </w:p>
    <w:p w14:paraId="7659CAF8" w14:textId="7012AFAE" w:rsidR="3AC76631" w:rsidRDefault="628D3BFE" w:rsidP="76C0B922">
      <w:pPr>
        <w:pStyle w:val="Heading2"/>
        <w:rPr>
          <w:rFonts w:ascii="Times New Roman" w:eastAsia="Times New Roman" w:hAnsi="Times New Roman" w:cs="Times New Roman"/>
          <w:color w:val="auto"/>
          <w:sz w:val="28"/>
          <w:szCs w:val="28"/>
        </w:rPr>
      </w:pPr>
      <w:bookmarkStart w:id="16" w:name="_Toc253570375"/>
      <w:r w:rsidRPr="30076135">
        <w:rPr>
          <w:rFonts w:ascii="Times New Roman" w:eastAsia="Times New Roman" w:hAnsi="Times New Roman" w:cs="Times New Roman"/>
          <w:color w:val="auto"/>
          <w:sz w:val="28"/>
          <w:szCs w:val="28"/>
        </w:rPr>
        <w:lastRenderedPageBreak/>
        <w:t>APPENDIX</w:t>
      </w:r>
      <w:r w:rsidR="0774CEB8" w:rsidRPr="30076135">
        <w:rPr>
          <w:rFonts w:ascii="Times New Roman" w:eastAsia="Times New Roman" w:hAnsi="Times New Roman" w:cs="Times New Roman"/>
          <w:color w:val="auto"/>
          <w:sz w:val="28"/>
          <w:szCs w:val="28"/>
        </w:rPr>
        <w:t xml:space="preserve"> </w:t>
      </w:r>
      <w:r w:rsidR="286700A2" w:rsidRPr="30076135">
        <w:rPr>
          <w:rFonts w:ascii="Times New Roman" w:eastAsia="Times New Roman" w:hAnsi="Times New Roman" w:cs="Times New Roman"/>
          <w:color w:val="auto"/>
          <w:sz w:val="28"/>
          <w:szCs w:val="28"/>
        </w:rPr>
        <w:t>C</w:t>
      </w:r>
      <w:r w:rsidR="00FDD5BD" w:rsidRPr="30076135">
        <w:rPr>
          <w:rFonts w:ascii="Times New Roman" w:eastAsia="Times New Roman" w:hAnsi="Times New Roman" w:cs="Times New Roman"/>
          <w:color w:val="auto"/>
          <w:sz w:val="28"/>
          <w:szCs w:val="28"/>
        </w:rPr>
        <w:t xml:space="preserve"> – </w:t>
      </w:r>
      <w:r w:rsidRPr="30076135">
        <w:rPr>
          <w:rFonts w:ascii="Times New Roman" w:eastAsia="Times New Roman" w:hAnsi="Times New Roman" w:cs="Times New Roman"/>
          <w:color w:val="auto"/>
          <w:sz w:val="28"/>
          <w:szCs w:val="28"/>
        </w:rPr>
        <w:t>S</w:t>
      </w:r>
      <w:r w:rsidR="759E5E1A" w:rsidRPr="30076135">
        <w:rPr>
          <w:rFonts w:ascii="Times New Roman" w:eastAsia="Times New Roman" w:hAnsi="Times New Roman" w:cs="Times New Roman"/>
          <w:color w:val="auto"/>
          <w:sz w:val="28"/>
          <w:szCs w:val="28"/>
        </w:rPr>
        <w:t xml:space="preserve">ensitivity </w:t>
      </w:r>
      <w:r w:rsidR="00FDD5BD" w:rsidRPr="30076135">
        <w:rPr>
          <w:rFonts w:ascii="Times New Roman" w:eastAsia="Times New Roman" w:hAnsi="Times New Roman" w:cs="Times New Roman"/>
          <w:color w:val="auto"/>
          <w:sz w:val="28"/>
          <w:szCs w:val="28"/>
        </w:rPr>
        <w:t>analysis</w:t>
      </w:r>
      <w:bookmarkEnd w:id="16"/>
    </w:p>
    <w:p w14:paraId="26EBBBFA" w14:textId="6F5E3F92" w:rsidR="4667C58B" w:rsidRDefault="4667C58B" w:rsidP="09BE03B4">
      <w:pPr>
        <w:spacing w:before="240" w:after="240"/>
        <w:rPr>
          <w:rFonts w:ascii="Times New Roman" w:eastAsia="Times New Roman" w:hAnsi="Times New Roman" w:cs="Times New Roman"/>
          <w:b/>
          <w:bCs/>
          <w:sz w:val="24"/>
          <w:szCs w:val="24"/>
        </w:rPr>
      </w:pPr>
      <w:r w:rsidRPr="09BE03B4">
        <w:rPr>
          <w:rFonts w:ascii="Times New Roman" w:eastAsia="Times New Roman" w:hAnsi="Times New Roman" w:cs="Times New Roman"/>
          <w:b/>
          <w:bCs/>
          <w:sz w:val="24"/>
          <w:szCs w:val="24"/>
        </w:rPr>
        <w:t>Table C1.</w:t>
      </w:r>
      <w:r w:rsidR="51975143" w:rsidRPr="09BE03B4">
        <w:rPr>
          <w:rFonts w:ascii="Times New Roman" w:eastAsia="Times New Roman" w:hAnsi="Times New Roman" w:cs="Times New Roman"/>
          <w:b/>
          <w:bCs/>
          <w:sz w:val="24"/>
          <w:szCs w:val="24"/>
        </w:rPr>
        <w:t xml:space="preserve"> </w:t>
      </w:r>
      <w:r w:rsidR="35AE93E2" w:rsidRPr="09BE03B4">
        <w:rPr>
          <w:rFonts w:ascii="Times New Roman" w:eastAsia="Times New Roman" w:hAnsi="Times New Roman" w:cs="Times New Roman"/>
          <w:b/>
          <w:bCs/>
          <w:sz w:val="24"/>
          <w:szCs w:val="24"/>
        </w:rPr>
        <w:t>D</w:t>
      </w:r>
      <w:r w:rsidR="51975143" w:rsidRPr="09BE03B4">
        <w:rPr>
          <w:rFonts w:ascii="Times New Roman" w:eastAsia="Times New Roman" w:hAnsi="Times New Roman" w:cs="Times New Roman"/>
          <w:b/>
          <w:bCs/>
          <w:sz w:val="24"/>
          <w:szCs w:val="24"/>
        </w:rPr>
        <w:t>isutility</w:t>
      </w:r>
      <w:r w:rsidR="3556867E" w:rsidRPr="09BE03B4">
        <w:rPr>
          <w:rFonts w:ascii="Times New Roman" w:eastAsia="Times New Roman" w:hAnsi="Times New Roman" w:cs="Times New Roman"/>
          <w:b/>
          <w:bCs/>
          <w:sz w:val="24"/>
          <w:szCs w:val="24"/>
        </w:rPr>
        <w:t>, standard error</w:t>
      </w:r>
    </w:p>
    <w:tbl>
      <w:tblPr>
        <w:tblStyle w:val="TableGrid"/>
        <w:tblW w:w="0" w:type="auto"/>
        <w:tblLook w:val="06A0" w:firstRow="1" w:lastRow="0" w:firstColumn="1" w:lastColumn="0" w:noHBand="1" w:noVBand="1"/>
      </w:tblPr>
      <w:tblGrid>
        <w:gridCol w:w="4530"/>
        <w:gridCol w:w="4530"/>
      </w:tblGrid>
      <w:tr w:rsidR="09BE03B4" w14:paraId="5096B2C5" w14:textId="77777777" w:rsidTr="09BE03B4">
        <w:trPr>
          <w:trHeight w:val="300"/>
        </w:trPr>
        <w:tc>
          <w:tcPr>
            <w:tcW w:w="4530" w:type="dxa"/>
          </w:tcPr>
          <w:p w14:paraId="272CF18E" w14:textId="2CAABCFB" w:rsidR="51975143" w:rsidRDefault="51975143" w:rsidP="09BE03B4">
            <w:pPr>
              <w:rPr>
                <w:rFonts w:ascii="Times New Roman" w:eastAsia="Times New Roman" w:hAnsi="Times New Roman" w:cs="Times New Roman"/>
                <w:b/>
                <w:bCs/>
                <w:sz w:val="24"/>
                <w:szCs w:val="24"/>
              </w:rPr>
            </w:pPr>
            <w:r w:rsidRPr="09BE03B4">
              <w:rPr>
                <w:rFonts w:ascii="Times New Roman" w:eastAsia="Times New Roman" w:hAnsi="Times New Roman" w:cs="Times New Roman"/>
                <w:b/>
                <w:bCs/>
                <w:sz w:val="24"/>
                <w:szCs w:val="24"/>
              </w:rPr>
              <w:t>Adverse event</w:t>
            </w:r>
          </w:p>
        </w:tc>
        <w:tc>
          <w:tcPr>
            <w:tcW w:w="4530" w:type="dxa"/>
          </w:tcPr>
          <w:p w14:paraId="6E4A3FDB" w14:textId="4B055484" w:rsidR="51975143" w:rsidRDefault="51975143" w:rsidP="09BE03B4">
            <w:pPr>
              <w:rPr>
                <w:rFonts w:ascii="Times New Roman" w:eastAsia="Times New Roman" w:hAnsi="Times New Roman" w:cs="Times New Roman"/>
                <w:b/>
                <w:bCs/>
                <w:sz w:val="24"/>
                <w:szCs w:val="24"/>
              </w:rPr>
            </w:pPr>
            <w:r w:rsidRPr="09BE03B4">
              <w:rPr>
                <w:rFonts w:ascii="Times New Roman" w:eastAsia="Times New Roman" w:hAnsi="Times New Roman" w:cs="Times New Roman"/>
                <w:b/>
                <w:bCs/>
                <w:sz w:val="24"/>
                <w:szCs w:val="24"/>
              </w:rPr>
              <w:t>Standard Error</w:t>
            </w:r>
          </w:p>
        </w:tc>
      </w:tr>
      <w:tr w:rsidR="09BE03B4" w14:paraId="3A4D82CC" w14:textId="77777777" w:rsidTr="09BE03B4">
        <w:trPr>
          <w:trHeight w:val="300"/>
        </w:trPr>
        <w:tc>
          <w:tcPr>
            <w:tcW w:w="4530" w:type="dxa"/>
          </w:tcPr>
          <w:p w14:paraId="74840C7E" w14:textId="7CE9E237"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Neutropenia</w:t>
            </w:r>
          </w:p>
        </w:tc>
        <w:tc>
          <w:tcPr>
            <w:tcW w:w="4530" w:type="dxa"/>
          </w:tcPr>
          <w:p w14:paraId="2C51BF94" w14:textId="2DDEF16B"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0.0157</w:t>
            </w:r>
          </w:p>
        </w:tc>
      </w:tr>
      <w:tr w:rsidR="09BE03B4" w14:paraId="6917D500" w14:textId="77777777" w:rsidTr="09BE03B4">
        <w:trPr>
          <w:trHeight w:val="300"/>
        </w:trPr>
        <w:tc>
          <w:tcPr>
            <w:tcW w:w="4530" w:type="dxa"/>
          </w:tcPr>
          <w:p w14:paraId="24798B73" w14:textId="5E55EC18"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Febrile neutropenia</w:t>
            </w:r>
          </w:p>
        </w:tc>
        <w:tc>
          <w:tcPr>
            <w:tcW w:w="4530" w:type="dxa"/>
          </w:tcPr>
          <w:p w14:paraId="16BF4C34" w14:textId="3DD0B4E7"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0.0209</w:t>
            </w:r>
          </w:p>
        </w:tc>
      </w:tr>
      <w:tr w:rsidR="09BE03B4" w14:paraId="79049F6B" w14:textId="77777777" w:rsidTr="09BE03B4">
        <w:trPr>
          <w:trHeight w:val="300"/>
        </w:trPr>
        <w:tc>
          <w:tcPr>
            <w:tcW w:w="4530" w:type="dxa"/>
          </w:tcPr>
          <w:p w14:paraId="2F62E024" w14:textId="462F238A"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Leukopenia</w:t>
            </w:r>
          </w:p>
        </w:tc>
        <w:tc>
          <w:tcPr>
            <w:tcW w:w="4530" w:type="dxa"/>
          </w:tcPr>
          <w:p w14:paraId="044FDCD9" w14:textId="6961E22C"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0.0157</w:t>
            </w:r>
          </w:p>
        </w:tc>
      </w:tr>
      <w:tr w:rsidR="09BE03B4" w14:paraId="011C0BE2" w14:textId="77777777" w:rsidTr="09BE03B4">
        <w:trPr>
          <w:trHeight w:val="300"/>
        </w:trPr>
        <w:tc>
          <w:tcPr>
            <w:tcW w:w="4530" w:type="dxa"/>
          </w:tcPr>
          <w:p w14:paraId="21371E2D" w14:textId="61D5E23B"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Anaemia</w:t>
            </w:r>
          </w:p>
        </w:tc>
        <w:tc>
          <w:tcPr>
            <w:tcW w:w="4530" w:type="dxa"/>
          </w:tcPr>
          <w:p w14:paraId="507766DB" w14:textId="294A39B7"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0.0217</w:t>
            </w:r>
          </w:p>
        </w:tc>
      </w:tr>
      <w:tr w:rsidR="09BE03B4" w14:paraId="148904EB" w14:textId="77777777" w:rsidTr="09BE03B4">
        <w:trPr>
          <w:trHeight w:val="300"/>
        </w:trPr>
        <w:tc>
          <w:tcPr>
            <w:tcW w:w="4530" w:type="dxa"/>
          </w:tcPr>
          <w:p w14:paraId="11212DEA" w14:textId="62A3AF74"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Diarrhoea</w:t>
            </w:r>
          </w:p>
        </w:tc>
        <w:tc>
          <w:tcPr>
            <w:tcW w:w="4530" w:type="dxa"/>
          </w:tcPr>
          <w:p w14:paraId="154213C6" w14:textId="38C2C366"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0.0082</w:t>
            </w:r>
          </w:p>
        </w:tc>
      </w:tr>
      <w:tr w:rsidR="09BE03B4" w14:paraId="55FB4E6D" w14:textId="77777777" w:rsidTr="09BE03B4">
        <w:trPr>
          <w:trHeight w:val="300"/>
        </w:trPr>
        <w:tc>
          <w:tcPr>
            <w:tcW w:w="4530" w:type="dxa"/>
          </w:tcPr>
          <w:p w14:paraId="4AAFBBA3" w14:textId="5E85CCD6"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Fatigue</w:t>
            </w:r>
          </w:p>
        </w:tc>
        <w:tc>
          <w:tcPr>
            <w:tcW w:w="4530" w:type="dxa"/>
          </w:tcPr>
          <w:p w14:paraId="24D0B472" w14:textId="2B4AD318"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0.0163</w:t>
            </w:r>
          </w:p>
        </w:tc>
      </w:tr>
      <w:tr w:rsidR="09BE03B4" w14:paraId="40637C6D" w14:textId="77777777" w:rsidTr="09BE03B4">
        <w:trPr>
          <w:trHeight w:val="300"/>
        </w:trPr>
        <w:tc>
          <w:tcPr>
            <w:tcW w:w="4530" w:type="dxa"/>
          </w:tcPr>
          <w:p w14:paraId="0736F791" w14:textId="268F0017"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Asthenia</w:t>
            </w:r>
          </w:p>
        </w:tc>
        <w:tc>
          <w:tcPr>
            <w:tcW w:w="4530" w:type="dxa"/>
          </w:tcPr>
          <w:p w14:paraId="1B50D063" w14:textId="64D4A57F"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0.0163</w:t>
            </w:r>
          </w:p>
        </w:tc>
      </w:tr>
    </w:tbl>
    <w:p w14:paraId="5BD99E4A" w14:textId="11D55584" w:rsidR="244A5161" w:rsidRDefault="244A5161" w:rsidP="30D56DD0">
      <w:pPr>
        <w:spacing w:before="240" w:after="240"/>
        <w:rPr>
          <w:rFonts w:ascii="Times New Roman" w:eastAsia="Times New Roman" w:hAnsi="Times New Roman" w:cs="Times New Roman"/>
          <w:i/>
          <w:iCs/>
        </w:rPr>
      </w:pPr>
      <w:r w:rsidRPr="30D56DD0">
        <w:rPr>
          <w:rFonts w:ascii="Times New Roman" w:eastAsia="Times New Roman" w:hAnsi="Times New Roman" w:cs="Times New Roman"/>
          <w:i/>
          <w:iCs/>
        </w:rPr>
        <w:t>Source: NICE TA391, ERG report, Table 30</w:t>
      </w:r>
    </w:p>
    <w:p w14:paraId="66B98A22" w14:textId="27D534C4" w:rsidR="30D56DD0" w:rsidRDefault="30D56DD0" w:rsidP="30D56DD0">
      <w:pPr>
        <w:spacing w:before="240" w:after="240"/>
        <w:rPr>
          <w:rFonts w:ascii="Times New Roman" w:eastAsia="Times New Roman" w:hAnsi="Times New Roman" w:cs="Times New Roman"/>
          <w:i/>
          <w:iCs/>
        </w:rPr>
      </w:pPr>
    </w:p>
    <w:p w14:paraId="6C55E4FF" w14:textId="07B8CAEB" w:rsidR="73F8EB52" w:rsidRDefault="73F8EB52" w:rsidP="09BE03B4">
      <w:pPr>
        <w:spacing w:before="240" w:after="240"/>
        <w:rPr>
          <w:rFonts w:ascii="Times New Roman" w:eastAsia="Times New Roman" w:hAnsi="Times New Roman" w:cs="Times New Roman"/>
          <w:b/>
          <w:bCs/>
          <w:sz w:val="24"/>
          <w:szCs w:val="24"/>
        </w:rPr>
      </w:pPr>
      <w:r w:rsidRPr="09BE03B4">
        <w:rPr>
          <w:rFonts w:ascii="Times New Roman" w:eastAsia="Times New Roman" w:hAnsi="Times New Roman" w:cs="Times New Roman"/>
          <w:b/>
          <w:bCs/>
          <w:sz w:val="24"/>
          <w:szCs w:val="24"/>
        </w:rPr>
        <w:t>Table C2. Emit inputs, quantity and standard deviation</w:t>
      </w:r>
    </w:p>
    <w:tbl>
      <w:tblPr>
        <w:tblStyle w:val="TableGrid"/>
        <w:tblW w:w="0" w:type="auto"/>
        <w:tblLook w:val="06A0" w:firstRow="1" w:lastRow="0" w:firstColumn="1" w:lastColumn="0" w:noHBand="1" w:noVBand="1"/>
      </w:tblPr>
      <w:tblGrid>
        <w:gridCol w:w="3020"/>
        <w:gridCol w:w="3020"/>
        <w:gridCol w:w="3020"/>
      </w:tblGrid>
      <w:tr w:rsidR="09BE03B4" w14:paraId="0EA859FD" w14:textId="77777777" w:rsidTr="09BE03B4">
        <w:trPr>
          <w:trHeight w:val="300"/>
        </w:trPr>
        <w:tc>
          <w:tcPr>
            <w:tcW w:w="3020" w:type="dxa"/>
          </w:tcPr>
          <w:p w14:paraId="6FC9EC21" w14:textId="7A884776" w:rsidR="4EBB9AD4" w:rsidRDefault="4EBB9AD4" w:rsidP="09BE03B4">
            <w:pPr>
              <w:rPr>
                <w:rFonts w:ascii="Times New Roman" w:eastAsia="Times New Roman" w:hAnsi="Times New Roman" w:cs="Times New Roman"/>
                <w:b/>
                <w:bCs/>
                <w:sz w:val="24"/>
                <w:szCs w:val="24"/>
              </w:rPr>
            </w:pPr>
            <w:r w:rsidRPr="09BE03B4">
              <w:rPr>
                <w:rFonts w:ascii="Times New Roman" w:eastAsia="Times New Roman" w:hAnsi="Times New Roman" w:cs="Times New Roman"/>
                <w:b/>
                <w:bCs/>
                <w:sz w:val="24"/>
                <w:szCs w:val="24"/>
              </w:rPr>
              <w:t>Drug</w:t>
            </w:r>
          </w:p>
        </w:tc>
        <w:tc>
          <w:tcPr>
            <w:tcW w:w="3020" w:type="dxa"/>
          </w:tcPr>
          <w:p w14:paraId="20ABF5FE" w14:textId="33B771E3" w:rsidR="4EBB9AD4" w:rsidRDefault="4EBB9AD4" w:rsidP="09BE03B4">
            <w:pPr>
              <w:rPr>
                <w:rFonts w:ascii="Times New Roman" w:eastAsia="Times New Roman" w:hAnsi="Times New Roman" w:cs="Times New Roman"/>
                <w:b/>
                <w:bCs/>
                <w:sz w:val="24"/>
                <w:szCs w:val="24"/>
              </w:rPr>
            </w:pPr>
            <w:r w:rsidRPr="09BE03B4">
              <w:rPr>
                <w:rFonts w:ascii="Times New Roman" w:eastAsia="Times New Roman" w:hAnsi="Times New Roman" w:cs="Times New Roman"/>
                <w:b/>
                <w:bCs/>
                <w:sz w:val="24"/>
                <w:szCs w:val="24"/>
              </w:rPr>
              <w:t>Quantity</w:t>
            </w:r>
          </w:p>
        </w:tc>
        <w:tc>
          <w:tcPr>
            <w:tcW w:w="3020" w:type="dxa"/>
          </w:tcPr>
          <w:p w14:paraId="78F0BB58" w14:textId="512FB05A" w:rsidR="4EBB9AD4" w:rsidRDefault="4EBB9AD4" w:rsidP="09BE03B4">
            <w:pPr>
              <w:rPr>
                <w:rFonts w:ascii="Times New Roman" w:eastAsia="Times New Roman" w:hAnsi="Times New Roman" w:cs="Times New Roman"/>
                <w:b/>
                <w:bCs/>
                <w:sz w:val="24"/>
                <w:szCs w:val="24"/>
              </w:rPr>
            </w:pPr>
            <w:r w:rsidRPr="09BE03B4">
              <w:rPr>
                <w:rFonts w:ascii="Times New Roman" w:eastAsia="Times New Roman" w:hAnsi="Times New Roman" w:cs="Times New Roman"/>
                <w:b/>
                <w:bCs/>
                <w:sz w:val="24"/>
                <w:szCs w:val="24"/>
              </w:rPr>
              <w:t>Standard deviation</w:t>
            </w:r>
          </w:p>
        </w:tc>
      </w:tr>
      <w:tr w:rsidR="09BE03B4" w14:paraId="218BC6BB" w14:textId="77777777" w:rsidTr="09BE03B4">
        <w:trPr>
          <w:trHeight w:val="300"/>
        </w:trPr>
        <w:tc>
          <w:tcPr>
            <w:tcW w:w="3020" w:type="dxa"/>
          </w:tcPr>
          <w:p w14:paraId="1B163429" w14:textId="686E3DB2" w:rsidR="4EBB9AD4" w:rsidRDefault="4EBB9AD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Cabazitaxel</w:t>
            </w:r>
          </w:p>
        </w:tc>
        <w:tc>
          <w:tcPr>
            <w:tcW w:w="3020" w:type="dxa"/>
          </w:tcPr>
          <w:p w14:paraId="0298DF92" w14:textId="7AF098E0" w:rsidR="21B7ED16" w:rsidRDefault="21B7ED16"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1621</w:t>
            </w:r>
          </w:p>
        </w:tc>
        <w:tc>
          <w:tcPr>
            <w:tcW w:w="3020" w:type="dxa"/>
          </w:tcPr>
          <w:p w14:paraId="7ECEE567" w14:textId="3E85125A" w:rsidR="299F81BF" w:rsidRDefault="299F81BF"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 xml:space="preserve">43.75 </w:t>
            </w:r>
          </w:p>
        </w:tc>
      </w:tr>
      <w:tr w:rsidR="09BE03B4" w14:paraId="2470BE54" w14:textId="77777777" w:rsidTr="09BE03B4">
        <w:trPr>
          <w:trHeight w:val="300"/>
        </w:trPr>
        <w:tc>
          <w:tcPr>
            <w:tcW w:w="3020" w:type="dxa"/>
          </w:tcPr>
          <w:p w14:paraId="5E32EEED" w14:textId="5584CBBD" w:rsidR="4EBB9AD4" w:rsidRDefault="4EBB9AD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Mitoxantrone</w:t>
            </w:r>
          </w:p>
        </w:tc>
        <w:tc>
          <w:tcPr>
            <w:tcW w:w="3020" w:type="dxa"/>
          </w:tcPr>
          <w:p w14:paraId="1240268C" w14:textId="358C7E46" w:rsidR="5AEEFDAA" w:rsidRDefault="5AEEFDAA"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797</w:t>
            </w:r>
          </w:p>
        </w:tc>
        <w:tc>
          <w:tcPr>
            <w:tcW w:w="3020" w:type="dxa"/>
          </w:tcPr>
          <w:p w14:paraId="129FCE9D" w14:textId="14C0FE83" w:rsidR="78AC2B4F" w:rsidRDefault="78AC2B4F" w:rsidP="09BE03B4">
            <w:r w:rsidRPr="09BE03B4">
              <w:rPr>
                <w:rFonts w:ascii="Times New Roman" w:eastAsia="Times New Roman" w:hAnsi="Times New Roman" w:cs="Times New Roman"/>
                <w:sz w:val="24"/>
                <w:szCs w:val="24"/>
              </w:rPr>
              <w:t>22.78</w:t>
            </w:r>
          </w:p>
        </w:tc>
      </w:tr>
      <w:tr w:rsidR="09BE03B4" w14:paraId="6D611F15" w14:textId="77777777" w:rsidTr="09BE03B4">
        <w:trPr>
          <w:trHeight w:val="300"/>
        </w:trPr>
        <w:tc>
          <w:tcPr>
            <w:tcW w:w="3020" w:type="dxa"/>
          </w:tcPr>
          <w:p w14:paraId="605AC254" w14:textId="0B812BB0"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Antihistamine</w:t>
            </w:r>
            <w:r w:rsidR="29B6D40B" w:rsidRPr="09BE03B4">
              <w:rPr>
                <w:rFonts w:ascii="Times New Roman" w:eastAsia="Times New Roman" w:hAnsi="Times New Roman" w:cs="Times New Roman"/>
                <w:sz w:val="24"/>
                <w:szCs w:val="24"/>
              </w:rPr>
              <w:t xml:space="preserve"> (Chlorphenamine)</w:t>
            </w:r>
          </w:p>
        </w:tc>
        <w:tc>
          <w:tcPr>
            <w:tcW w:w="3020" w:type="dxa"/>
          </w:tcPr>
          <w:p w14:paraId="0BF5D95A" w14:textId="41458C2B" w:rsidR="40B70F15" w:rsidRDefault="40B70F15"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171</w:t>
            </w:r>
            <w:r w:rsidR="19182E1A" w:rsidRPr="09BE03B4">
              <w:rPr>
                <w:rFonts w:ascii="Times New Roman" w:eastAsia="Times New Roman" w:hAnsi="Times New Roman" w:cs="Times New Roman"/>
                <w:sz w:val="24"/>
                <w:szCs w:val="24"/>
              </w:rPr>
              <w:t>,</w:t>
            </w:r>
            <w:r w:rsidRPr="09BE03B4">
              <w:rPr>
                <w:rFonts w:ascii="Times New Roman" w:eastAsia="Times New Roman" w:hAnsi="Times New Roman" w:cs="Times New Roman"/>
                <w:sz w:val="24"/>
                <w:szCs w:val="24"/>
              </w:rPr>
              <w:t>172</w:t>
            </w:r>
          </w:p>
        </w:tc>
        <w:tc>
          <w:tcPr>
            <w:tcW w:w="3020" w:type="dxa"/>
          </w:tcPr>
          <w:p w14:paraId="7574DE6A" w14:textId="60ADB029" w:rsidR="3C19E725" w:rsidRDefault="3C19E725"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0.21</w:t>
            </w:r>
          </w:p>
        </w:tc>
      </w:tr>
      <w:tr w:rsidR="09BE03B4" w14:paraId="2728284C" w14:textId="77777777" w:rsidTr="09BE03B4">
        <w:trPr>
          <w:trHeight w:val="300"/>
        </w:trPr>
        <w:tc>
          <w:tcPr>
            <w:tcW w:w="3020" w:type="dxa"/>
          </w:tcPr>
          <w:p w14:paraId="77DEFD9C" w14:textId="12AD5099"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 xml:space="preserve">H2 antagonist </w:t>
            </w:r>
            <w:r w:rsidR="565C30A9" w:rsidRPr="09BE03B4">
              <w:rPr>
                <w:rFonts w:ascii="Times New Roman" w:eastAsia="Times New Roman" w:hAnsi="Times New Roman" w:cs="Times New Roman"/>
                <w:sz w:val="24"/>
                <w:szCs w:val="24"/>
              </w:rPr>
              <w:t>(Cimetidine)</w:t>
            </w:r>
          </w:p>
        </w:tc>
        <w:tc>
          <w:tcPr>
            <w:tcW w:w="3020" w:type="dxa"/>
          </w:tcPr>
          <w:p w14:paraId="31D781AF" w14:textId="0BA6A45B" w:rsidR="178CC482" w:rsidRDefault="178CC482"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1718</w:t>
            </w:r>
          </w:p>
        </w:tc>
        <w:tc>
          <w:tcPr>
            <w:tcW w:w="3020" w:type="dxa"/>
          </w:tcPr>
          <w:p w14:paraId="30160D93" w14:textId="533D4644" w:rsidR="4DA76F9B" w:rsidRDefault="4DA76F9B"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1.71</w:t>
            </w:r>
          </w:p>
        </w:tc>
      </w:tr>
      <w:tr w:rsidR="09BE03B4" w14:paraId="1212B533" w14:textId="77777777" w:rsidTr="09BE03B4">
        <w:trPr>
          <w:trHeight w:val="300"/>
        </w:trPr>
        <w:tc>
          <w:tcPr>
            <w:tcW w:w="3020" w:type="dxa"/>
          </w:tcPr>
          <w:p w14:paraId="03E35C44" w14:textId="1500C9E7" w:rsidR="09BE03B4" w:rsidRDefault="09BE03B4" w:rsidP="09BE03B4">
            <w:pPr>
              <w:tabs>
                <w:tab w:val="left" w:pos="0"/>
                <w:tab w:val="left" w:pos="0"/>
                <w:tab w:val="center" w:pos="1718"/>
              </w:tabs>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Anti-emetics</w:t>
            </w:r>
            <w:r w:rsidR="3A93D9B3" w:rsidRPr="09BE03B4">
              <w:rPr>
                <w:rFonts w:ascii="Times New Roman" w:eastAsia="Times New Roman" w:hAnsi="Times New Roman" w:cs="Times New Roman"/>
                <w:sz w:val="24"/>
                <w:szCs w:val="24"/>
              </w:rPr>
              <w:t xml:space="preserve"> (Ondansetron)</w:t>
            </w:r>
          </w:p>
        </w:tc>
        <w:tc>
          <w:tcPr>
            <w:tcW w:w="3020" w:type="dxa"/>
          </w:tcPr>
          <w:p w14:paraId="5B58A686" w14:textId="0AA6C51A" w:rsidR="3B53E05C" w:rsidRDefault="3B53E05C"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225</w:t>
            </w:r>
            <w:r w:rsidR="74921936" w:rsidRPr="09BE03B4">
              <w:rPr>
                <w:rFonts w:ascii="Times New Roman" w:eastAsia="Times New Roman" w:hAnsi="Times New Roman" w:cs="Times New Roman"/>
                <w:sz w:val="24"/>
                <w:szCs w:val="24"/>
              </w:rPr>
              <w:t>,</w:t>
            </w:r>
            <w:r w:rsidRPr="09BE03B4">
              <w:rPr>
                <w:rFonts w:ascii="Times New Roman" w:eastAsia="Times New Roman" w:hAnsi="Times New Roman" w:cs="Times New Roman"/>
                <w:sz w:val="24"/>
                <w:szCs w:val="24"/>
              </w:rPr>
              <w:t>101</w:t>
            </w:r>
          </w:p>
        </w:tc>
        <w:tc>
          <w:tcPr>
            <w:tcW w:w="3020" w:type="dxa"/>
          </w:tcPr>
          <w:p w14:paraId="172F1FB2" w14:textId="28D916E9" w:rsidR="11BB2AAB" w:rsidRDefault="11BB2AAB"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1.11</w:t>
            </w:r>
          </w:p>
        </w:tc>
      </w:tr>
      <w:tr w:rsidR="09BE03B4" w14:paraId="396031A3" w14:textId="77777777" w:rsidTr="09BE03B4">
        <w:trPr>
          <w:trHeight w:val="300"/>
        </w:trPr>
        <w:tc>
          <w:tcPr>
            <w:tcW w:w="3020" w:type="dxa"/>
          </w:tcPr>
          <w:p w14:paraId="31E4F202" w14:textId="054A0A2F"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Corticosteroids</w:t>
            </w:r>
            <w:r w:rsidR="7B4EC936" w:rsidRPr="09BE03B4">
              <w:rPr>
                <w:rFonts w:ascii="Times New Roman" w:eastAsia="Times New Roman" w:hAnsi="Times New Roman" w:cs="Times New Roman"/>
                <w:sz w:val="24"/>
                <w:szCs w:val="24"/>
              </w:rPr>
              <w:t xml:space="preserve"> (Dexamethasone)</w:t>
            </w:r>
          </w:p>
        </w:tc>
        <w:tc>
          <w:tcPr>
            <w:tcW w:w="3020" w:type="dxa"/>
          </w:tcPr>
          <w:p w14:paraId="00146FE9" w14:textId="25F8C000" w:rsidR="2BA6FB14" w:rsidRDefault="2BA6FB1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4435</w:t>
            </w:r>
          </w:p>
        </w:tc>
        <w:tc>
          <w:tcPr>
            <w:tcW w:w="3020" w:type="dxa"/>
          </w:tcPr>
          <w:p w14:paraId="1D1F853C" w14:textId="025E9821" w:rsidR="3D048628" w:rsidRDefault="3D048628"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3.60</w:t>
            </w:r>
          </w:p>
        </w:tc>
      </w:tr>
      <w:tr w:rsidR="09BE03B4" w14:paraId="19B659E5" w14:textId="77777777" w:rsidTr="09BE03B4">
        <w:trPr>
          <w:trHeight w:val="300"/>
        </w:trPr>
        <w:tc>
          <w:tcPr>
            <w:tcW w:w="3020" w:type="dxa"/>
          </w:tcPr>
          <w:p w14:paraId="4527A062" w14:textId="41DFC692" w:rsidR="323C097D" w:rsidRDefault="323C097D"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Prednisolone</w:t>
            </w:r>
          </w:p>
        </w:tc>
        <w:tc>
          <w:tcPr>
            <w:tcW w:w="3020" w:type="dxa"/>
          </w:tcPr>
          <w:p w14:paraId="5C5E1384" w14:textId="6A8CFA3D" w:rsidR="0C59C9FC" w:rsidRDefault="0C59C9FC"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2</w:t>
            </w:r>
            <w:r w:rsidR="00DDA6DD" w:rsidRPr="09BE03B4">
              <w:rPr>
                <w:rFonts w:ascii="Times New Roman" w:eastAsia="Times New Roman" w:hAnsi="Times New Roman" w:cs="Times New Roman"/>
                <w:sz w:val="24"/>
                <w:szCs w:val="24"/>
              </w:rPr>
              <w:t>,</w:t>
            </w:r>
            <w:r w:rsidRPr="09BE03B4">
              <w:rPr>
                <w:rFonts w:ascii="Times New Roman" w:eastAsia="Times New Roman" w:hAnsi="Times New Roman" w:cs="Times New Roman"/>
                <w:sz w:val="24"/>
                <w:szCs w:val="24"/>
              </w:rPr>
              <w:t>320</w:t>
            </w:r>
            <w:r w:rsidR="7BBCFAD7" w:rsidRPr="09BE03B4">
              <w:rPr>
                <w:rFonts w:ascii="Times New Roman" w:eastAsia="Times New Roman" w:hAnsi="Times New Roman" w:cs="Times New Roman"/>
                <w:sz w:val="24"/>
                <w:szCs w:val="24"/>
              </w:rPr>
              <w:t>,</w:t>
            </w:r>
            <w:r w:rsidRPr="09BE03B4">
              <w:rPr>
                <w:rFonts w:ascii="Times New Roman" w:eastAsia="Times New Roman" w:hAnsi="Times New Roman" w:cs="Times New Roman"/>
                <w:sz w:val="24"/>
                <w:szCs w:val="24"/>
              </w:rPr>
              <w:t>376</w:t>
            </w:r>
          </w:p>
        </w:tc>
        <w:tc>
          <w:tcPr>
            <w:tcW w:w="3020" w:type="dxa"/>
          </w:tcPr>
          <w:p w14:paraId="09E6691F" w14:textId="5E921025" w:rsidR="211366E1" w:rsidRDefault="211366E1"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0.06</w:t>
            </w:r>
          </w:p>
        </w:tc>
      </w:tr>
    </w:tbl>
    <w:p w14:paraId="1E21A82C" w14:textId="0FF3C5F2" w:rsidR="211366E1" w:rsidRDefault="211366E1" w:rsidP="30D56DD0">
      <w:pPr>
        <w:spacing w:before="240" w:after="240"/>
        <w:rPr>
          <w:rFonts w:ascii="Times New Roman" w:eastAsia="Times New Roman" w:hAnsi="Times New Roman" w:cs="Times New Roman"/>
          <w:i/>
          <w:iCs/>
        </w:rPr>
      </w:pPr>
      <w:r w:rsidRPr="30D56DD0">
        <w:rPr>
          <w:rFonts w:ascii="Times New Roman" w:eastAsia="Times New Roman" w:hAnsi="Times New Roman" w:cs="Times New Roman"/>
          <w:i/>
          <w:iCs/>
        </w:rPr>
        <w:t xml:space="preserve">Source: Emit National Database: 1 </w:t>
      </w:r>
      <w:r w:rsidR="703E46B4" w:rsidRPr="30D56DD0">
        <w:rPr>
          <w:rFonts w:ascii="Times New Roman" w:eastAsia="Times New Roman" w:hAnsi="Times New Roman" w:cs="Times New Roman"/>
          <w:i/>
          <w:iCs/>
        </w:rPr>
        <w:t>J</w:t>
      </w:r>
      <w:r w:rsidRPr="30D56DD0">
        <w:rPr>
          <w:rFonts w:ascii="Times New Roman" w:eastAsia="Times New Roman" w:hAnsi="Times New Roman" w:cs="Times New Roman"/>
          <w:i/>
          <w:iCs/>
        </w:rPr>
        <w:t xml:space="preserve">uly 2024- 30 </w:t>
      </w:r>
      <w:r w:rsidR="7C089769" w:rsidRPr="30D56DD0">
        <w:rPr>
          <w:rFonts w:ascii="Times New Roman" w:eastAsia="Times New Roman" w:hAnsi="Times New Roman" w:cs="Times New Roman"/>
          <w:i/>
          <w:iCs/>
        </w:rPr>
        <w:t>J</w:t>
      </w:r>
      <w:r w:rsidRPr="30D56DD0">
        <w:rPr>
          <w:rFonts w:ascii="Times New Roman" w:eastAsia="Times New Roman" w:hAnsi="Times New Roman" w:cs="Times New Roman"/>
          <w:i/>
          <w:iCs/>
        </w:rPr>
        <w:t>une 2025</w:t>
      </w:r>
    </w:p>
    <w:p w14:paraId="671A9BFF" w14:textId="428CC74A" w:rsidR="30D56DD0" w:rsidRDefault="30D56DD0" w:rsidP="30D56DD0">
      <w:pPr>
        <w:spacing w:before="240" w:after="240"/>
        <w:rPr>
          <w:rFonts w:ascii="Times New Roman" w:eastAsia="Times New Roman" w:hAnsi="Times New Roman" w:cs="Times New Roman"/>
          <w:i/>
          <w:iCs/>
        </w:rPr>
      </w:pPr>
    </w:p>
    <w:p w14:paraId="4E67925F" w14:textId="0357619F" w:rsidR="323C097D" w:rsidRDefault="323C097D" w:rsidP="09BE03B4">
      <w:pPr>
        <w:spacing w:before="240" w:after="240"/>
        <w:rPr>
          <w:rFonts w:ascii="Times New Roman" w:eastAsia="Times New Roman" w:hAnsi="Times New Roman" w:cs="Times New Roman"/>
          <w:b/>
          <w:bCs/>
          <w:sz w:val="24"/>
          <w:szCs w:val="24"/>
        </w:rPr>
      </w:pPr>
      <w:r w:rsidRPr="09BE03B4">
        <w:rPr>
          <w:rFonts w:ascii="Times New Roman" w:eastAsia="Times New Roman" w:hAnsi="Times New Roman" w:cs="Times New Roman"/>
          <w:b/>
          <w:bCs/>
          <w:sz w:val="24"/>
          <w:szCs w:val="24"/>
        </w:rPr>
        <w:t xml:space="preserve">Table C3. </w:t>
      </w:r>
      <w:r w:rsidR="13804B69" w:rsidRPr="09BE03B4">
        <w:rPr>
          <w:rFonts w:ascii="Times New Roman" w:eastAsia="Times New Roman" w:hAnsi="Times New Roman" w:cs="Times New Roman"/>
          <w:b/>
          <w:bCs/>
          <w:sz w:val="24"/>
          <w:szCs w:val="24"/>
        </w:rPr>
        <w:t>Health care resource use, standard error</w:t>
      </w:r>
    </w:p>
    <w:tbl>
      <w:tblPr>
        <w:tblStyle w:val="TableGrid"/>
        <w:tblW w:w="0" w:type="auto"/>
        <w:tblLook w:val="06A0" w:firstRow="1" w:lastRow="0" w:firstColumn="1" w:lastColumn="0" w:noHBand="1" w:noVBand="1"/>
      </w:tblPr>
      <w:tblGrid>
        <w:gridCol w:w="2265"/>
        <w:gridCol w:w="2265"/>
        <w:gridCol w:w="2355"/>
        <w:gridCol w:w="2175"/>
      </w:tblGrid>
      <w:tr w:rsidR="09BE03B4" w14:paraId="22E4D371" w14:textId="77777777" w:rsidTr="09BE03B4">
        <w:trPr>
          <w:trHeight w:val="300"/>
        </w:trPr>
        <w:tc>
          <w:tcPr>
            <w:tcW w:w="2265" w:type="dxa"/>
          </w:tcPr>
          <w:p w14:paraId="04136A51" w14:textId="72751242" w:rsidR="13804B69" w:rsidRDefault="13804B69" w:rsidP="09BE03B4">
            <w:pPr>
              <w:rPr>
                <w:rFonts w:ascii="Times New Roman" w:eastAsia="Times New Roman" w:hAnsi="Times New Roman" w:cs="Times New Roman"/>
                <w:b/>
                <w:bCs/>
                <w:sz w:val="24"/>
                <w:szCs w:val="24"/>
              </w:rPr>
            </w:pPr>
            <w:r w:rsidRPr="09BE03B4">
              <w:rPr>
                <w:rFonts w:ascii="Times New Roman" w:eastAsia="Times New Roman" w:hAnsi="Times New Roman" w:cs="Times New Roman"/>
                <w:b/>
                <w:bCs/>
                <w:sz w:val="24"/>
                <w:szCs w:val="24"/>
              </w:rPr>
              <w:t>Resource</w:t>
            </w:r>
          </w:p>
        </w:tc>
        <w:tc>
          <w:tcPr>
            <w:tcW w:w="2265" w:type="dxa"/>
          </w:tcPr>
          <w:p w14:paraId="09E59770" w14:textId="7025FA46" w:rsidR="13804B69" w:rsidRDefault="13804B69" w:rsidP="09BE03B4">
            <w:pPr>
              <w:rPr>
                <w:rFonts w:ascii="Times New Roman" w:eastAsia="Times New Roman" w:hAnsi="Times New Roman" w:cs="Times New Roman"/>
                <w:b/>
                <w:bCs/>
                <w:sz w:val="24"/>
                <w:szCs w:val="24"/>
              </w:rPr>
            </w:pPr>
            <w:r w:rsidRPr="09BE03B4">
              <w:rPr>
                <w:rFonts w:ascii="Times New Roman" w:eastAsia="Times New Roman" w:hAnsi="Times New Roman" w:cs="Times New Roman"/>
                <w:b/>
                <w:bCs/>
                <w:sz w:val="24"/>
                <w:szCs w:val="24"/>
              </w:rPr>
              <w:t>Standard error SD</w:t>
            </w:r>
          </w:p>
        </w:tc>
        <w:tc>
          <w:tcPr>
            <w:tcW w:w="2355" w:type="dxa"/>
          </w:tcPr>
          <w:p w14:paraId="5F48028E" w14:textId="3B7368E8" w:rsidR="13804B69" w:rsidRDefault="13804B69" w:rsidP="09BE03B4">
            <w:pPr>
              <w:rPr>
                <w:rFonts w:ascii="Times New Roman" w:eastAsia="Times New Roman" w:hAnsi="Times New Roman" w:cs="Times New Roman"/>
                <w:b/>
                <w:bCs/>
                <w:sz w:val="24"/>
                <w:szCs w:val="24"/>
              </w:rPr>
            </w:pPr>
            <w:r w:rsidRPr="09BE03B4">
              <w:rPr>
                <w:rFonts w:ascii="Times New Roman" w:eastAsia="Times New Roman" w:hAnsi="Times New Roman" w:cs="Times New Roman"/>
                <w:b/>
                <w:bCs/>
                <w:sz w:val="24"/>
                <w:szCs w:val="24"/>
              </w:rPr>
              <w:t>Standard error PD</w:t>
            </w:r>
          </w:p>
          <w:p w14:paraId="05D7BE3A" w14:textId="19B49533" w:rsidR="656B78C9" w:rsidRDefault="656B78C9" w:rsidP="09BE03B4">
            <w:pPr>
              <w:rPr>
                <w:rFonts w:ascii="Times New Roman" w:eastAsia="Times New Roman" w:hAnsi="Times New Roman" w:cs="Times New Roman"/>
                <w:b/>
                <w:bCs/>
                <w:sz w:val="24"/>
                <w:szCs w:val="24"/>
              </w:rPr>
            </w:pPr>
            <w:r w:rsidRPr="09BE03B4">
              <w:rPr>
                <w:rFonts w:ascii="Times New Roman" w:eastAsia="Times New Roman" w:hAnsi="Times New Roman" w:cs="Times New Roman"/>
                <w:b/>
                <w:bCs/>
                <w:sz w:val="24"/>
                <w:szCs w:val="24"/>
              </w:rPr>
              <w:t>Best supportive care</w:t>
            </w:r>
          </w:p>
        </w:tc>
        <w:tc>
          <w:tcPr>
            <w:tcW w:w="2175" w:type="dxa"/>
          </w:tcPr>
          <w:p w14:paraId="6D95CECD" w14:textId="4BB278C3" w:rsidR="13804B69" w:rsidRDefault="13804B69" w:rsidP="09BE03B4">
            <w:pPr>
              <w:rPr>
                <w:rFonts w:ascii="Times New Roman" w:eastAsia="Times New Roman" w:hAnsi="Times New Roman" w:cs="Times New Roman"/>
                <w:b/>
                <w:bCs/>
                <w:sz w:val="24"/>
                <w:szCs w:val="24"/>
              </w:rPr>
            </w:pPr>
            <w:r w:rsidRPr="09BE03B4">
              <w:rPr>
                <w:rFonts w:ascii="Times New Roman" w:eastAsia="Times New Roman" w:hAnsi="Times New Roman" w:cs="Times New Roman"/>
                <w:b/>
                <w:bCs/>
                <w:sz w:val="24"/>
                <w:szCs w:val="24"/>
              </w:rPr>
              <w:t>Standard error PD</w:t>
            </w:r>
          </w:p>
          <w:p w14:paraId="27217A29" w14:textId="00505335" w:rsidR="660E556C" w:rsidRDefault="660E556C" w:rsidP="09BE03B4">
            <w:pPr>
              <w:rPr>
                <w:rFonts w:ascii="Times New Roman" w:eastAsia="Times New Roman" w:hAnsi="Times New Roman" w:cs="Times New Roman"/>
                <w:b/>
                <w:bCs/>
                <w:sz w:val="24"/>
                <w:szCs w:val="24"/>
              </w:rPr>
            </w:pPr>
            <w:r w:rsidRPr="09BE03B4">
              <w:rPr>
                <w:rFonts w:ascii="Times New Roman" w:eastAsia="Times New Roman" w:hAnsi="Times New Roman" w:cs="Times New Roman"/>
                <w:b/>
                <w:bCs/>
                <w:sz w:val="24"/>
                <w:szCs w:val="24"/>
              </w:rPr>
              <w:t>Additional chemo</w:t>
            </w:r>
          </w:p>
        </w:tc>
      </w:tr>
      <w:tr w:rsidR="09BE03B4" w14:paraId="15F06952" w14:textId="77777777" w:rsidTr="09BE03B4">
        <w:trPr>
          <w:trHeight w:val="300"/>
        </w:trPr>
        <w:tc>
          <w:tcPr>
            <w:tcW w:w="2265" w:type="dxa"/>
          </w:tcPr>
          <w:p w14:paraId="30A772EC" w14:textId="458488DD"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Clinical oncologist</w:t>
            </w:r>
          </w:p>
        </w:tc>
        <w:tc>
          <w:tcPr>
            <w:tcW w:w="2265" w:type="dxa"/>
          </w:tcPr>
          <w:p w14:paraId="54490117" w14:textId="7072CE3A"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0.358</w:t>
            </w:r>
          </w:p>
        </w:tc>
        <w:tc>
          <w:tcPr>
            <w:tcW w:w="2355" w:type="dxa"/>
          </w:tcPr>
          <w:p w14:paraId="795F40D3" w14:textId="69A7C46C" w:rsidR="7BCC083B" w:rsidRDefault="7BCC083B" w:rsidP="09BE03B4">
            <w:pPr>
              <w:rPr>
                <w:rFonts w:ascii="Times New Roman" w:eastAsia="Times New Roman" w:hAnsi="Times New Roman" w:cs="Times New Roman"/>
                <w:b/>
                <w:bCs/>
                <w:sz w:val="24"/>
                <w:szCs w:val="24"/>
              </w:rPr>
            </w:pPr>
            <w:r w:rsidRPr="09BE03B4">
              <w:rPr>
                <w:rFonts w:ascii="Times New Roman" w:eastAsia="Times New Roman" w:hAnsi="Times New Roman" w:cs="Times New Roman"/>
                <w:b/>
                <w:bCs/>
                <w:sz w:val="24"/>
                <w:szCs w:val="24"/>
              </w:rPr>
              <w:t>-</w:t>
            </w:r>
          </w:p>
        </w:tc>
        <w:tc>
          <w:tcPr>
            <w:tcW w:w="2175" w:type="dxa"/>
          </w:tcPr>
          <w:p w14:paraId="4ACEB3A8" w14:textId="38AC8989" w:rsidR="7BCC083B" w:rsidRDefault="7BCC083B" w:rsidP="09BE03B4">
            <w:pPr>
              <w:rPr>
                <w:rFonts w:ascii="Times New Roman" w:eastAsia="Times New Roman" w:hAnsi="Times New Roman" w:cs="Times New Roman"/>
                <w:b/>
                <w:bCs/>
                <w:sz w:val="24"/>
                <w:szCs w:val="24"/>
              </w:rPr>
            </w:pPr>
            <w:r w:rsidRPr="09BE03B4">
              <w:rPr>
                <w:rFonts w:ascii="Times New Roman" w:eastAsia="Times New Roman" w:hAnsi="Times New Roman" w:cs="Times New Roman"/>
                <w:b/>
                <w:bCs/>
                <w:sz w:val="24"/>
                <w:szCs w:val="24"/>
              </w:rPr>
              <w:t>-</w:t>
            </w:r>
          </w:p>
        </w:tc>
      </w:tr>
      <w:tr w:rsidR="09BE03B4" w14:paraId="0F9BB3FA" w14:textId="77777777" w:rsidTr="09BE03B4">
        <w:trPr>
          <w:trHeight w:val="300"/>
        </w:trPr>
        <w:tc>
          <w:tcPr>
            <w:tcW w:w="2265" w:type="dxa"/>
          </w:tcPr>
          <w:p w14:paraId="72C3542A" w14:textId="05E307C2"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 xml:space="preserve">Urologist </w:t>
            </w:r>
          </w:p>
        </w:tc>
        <w:tc>
          <w:tcPr>
            <w:tcW w:w="2265" w:type="dxa"/>
          </w:tcPr>
          <w:p w14:paraId="55A2BE46" w14:textId="7250BFB9"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0.006</w:t>
            </w:r>
          </w:p>
        </w:tc>
        <w:tc>
          <w:tcPr>
            <w:tcW w:w="2355" w:type="dxa"/>
          </w:tcPr>
          <w:p w14:paraId="2EBEEE51" w14:textId="5309A6FB"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0.004</w:t>
            </w:r>
          </w:p>
        </w:tc>
        <w:tc>
          <w:tcPr>
            <w:tcW w:w="2175" w:type="dxa"/>
          </w:tcPr>
          <w:p w14:paraId="077F937B" w14:textId="2277A764"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0.033</w:t>
            </w:r>
          </w:p>
        </w:tc>
      </w:tr>
      <w:tr w:rsidR="09BE03B4" w14:paraId="35CBAB88" w14:textId="77777777" w:rsidTr="09BE03B4">
        <w:trPr>
          <w:trHeight w:val="300"/>
        </w:trPr>
        <w:tc>
          <w:tcPr>
            <w:tcW w:w="2265" w:type="dxa"/>
          </w:tcPr>
          <w:p w14:paraId="344ACFDA" w14:textId="2616E8B7"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Oncology ward (inpatient care)</w:t>
            </w:r>
          </w:p>
        </w:tc>
        <w:tc>
          <w:tcPr>
            <w:tcW w:w="2265" w:type="dxa"/>
          </w:tcPr>
          <w:p w14:paraId="24A9FFD2" w14:textId="5C12A36B"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0.003</w:t>
            </w:r>
          </w:p>
        </w:tc>
        <w:tc>
          <w:tcPr>
            <w:tcW w:w="2355" w:type="dxa"/>
          </w:tcPr>
          <w:p w14:paraId="403B4626" w14:textId="3AFE2489"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0.011</w:t>
            </w:r>
          </w:p>
        </w:tc>
        <w:tc>
          <w:tcPr>
            <w:tcW w:w="2175" w:type="dxa"/>
          </w:tcPr>
          <w:p w14:paraId="5E81CE83" w14:textId="58F9828C"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0.017</w:t>
            </w:r>
          </w:p>
        </w:tc>
      </w:tr>
      <w:tr w:rsidR="09BE03B4" w14:paraId="65916F7A" w14:textId="77777777" w:rsidTr="09BE03B4">
        <w:trPr>
          <w:trHeight w:val="300"/>
        </w:trPr>
        <w:tc>
          <w:tcPr>
            <w:tcW w:w="2265" w:type="dxa"/>
          </w:tcPr>
          <w:p w14:paraId="3A40C5A9" w14:textId="0B1A8079"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General ward (inpatient care)</w:t>
            </w:r>
          </w:p>
        </w:tc>
        <w:tc>
          <w:tcPr>
            <w:tcW w:w="2265" w:type="dxa"/>
          </w:tcPr>
          <w:p w14:paraId="02EA06CD" w14:textId="0A45117F"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0.003</w:t>
            </w:r>
          </w:p>
        </w:tc>
        <w:tc>
          <w:tcPr>
            <w:tcW w:w="2355" w:type="dxa"/>
          </w:tcPr>
          <w:p w14:paraId="1B685F1F" w14:textId="5F20C727"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0.008</w:t>
            </w:r>
          </w:p>
        </w:tc>
        <w:tc>
          <w:tcPr>
            <w:tcW w:w="2175" w:type="dxa"/>
          </w:tcPr>
          <w:p w14:paraId="58CEE1D3" w14:textId="06D35636"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0.005</w:t>
            </w:r>
          </w:p>
        </w:tc>
      </w:tr>
      <w:tr w:rsidR="09BE03B4" w14:paraId="23380519" w14:textId="77777777" w:rsidTr="09BE03B4">
        <w:trPr>
          <w:trHeight w:val="300"/>
        </w:trPr>
        <w:tc>
          <w:tcPr>
            <w:tcW w:w="2265" w:type="dxa"/>
          </w:tcPr>
          <w:p w14:paraId="3E25BDBE" w14:textId="31D8EA2A" w:rsidR="64692C3E" w:rsidRDefault="64692C3E"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Urology ward (inpatient care)</w:t>
            </w:r>
          </w:p>
        </w:tc>
        <w:tc>
          <w:tcPr>
            <w:tcW w:w="2265" w:type="dxa"/>
          </w:tcPr>
          <w:p w14:paraId="47CE7A35" w14:textId="64496583" w:rsidR="64692C3E" w:rsidRDefault="64692C3E"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w:t>
            </w:r>
          </w:p>
        </w:tc>
        <w:tc>
          <w:tcPr>
            <w:tcW w:w="2355" w:type="dxa"/>
          </w:tcPr>
          <w:p w14:paraId="4ACECE7B" w14:textId="71BE9C99"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0.002</w:t>
            </w:r>
          </w:p>
        </w:tc>
        <w:tc>
          <w:tcPr>
            <w:tcW w:w="2175" w:type="dxa"/>
          </w:tcPr>
          <w:p w14:paraId="021FF54F" w14:textId="4CA5CE87"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0.000</w:t>
            </w:r>
          </w:p>
        </w:tc>
      </w:tr>
      <w:tr w:rsidR="09BE03B4" w14:paraId="101FB3C2" w14:textId="77777777" w:rsidTr="09BE03B4">
        <w:trPr>
          <w:trHeight w:val="300"/>
        </w:trPr>
        <w:tc>
          <w:tcPr>
            <w:tcW w:w="2265" w:type="dxa"/>
          </w:tcPr>
          <w:p w14:paraId="6DD009EB" w14:textId="144BC90C"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CT scan</w:t>
            </w:r>
          </w:p>
        </w:tc>
        <w:tc>
          <w:tcPr>
            <w:tcW w:w="2265" w:type="dxa"/>
          </w:tcPr>
          <w:p w14:paraId="3700EB6B" w14:textId="6C5CFEAC"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0.013</w:t>
            </w:r>
          </w:p>
        </w:tc>
        <w:tc>
          <w:tcPr>
            <w:tcW w:w="2355" w:type="dxa"/>
          </w:tcPr>
          <w:p w14:paraId="71D2BDF0" w14:textId="4BE25C54"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0.039</w:t>
            </w:r>
          </w:p>
        </w:tc>
        <w:tc>
          <w:tcPr>
            <w:tcW w:w="2175" w:type="dxa"/>
          </w:tcPr>
          <w:p w14:paraId="66B8D846" w14:textId="66CE67B7"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0.008</w:t>
            </w:r>
          </w:p>
        </w:tc>
      </w:tr>
      <w:tr w:rsidR="09BE03B4" w14:paraId="71CD4371" w14:textId="77777777" w:rsidTr="09BE03B4">
        <w:trPr>
          <w:trHeight w:val="300"/>
        </w:trPr>
        <w:tc>
          <w:tcPr>
            <w:tcW w:w="2265" w:type="dxa"/>
          </w:tcPr>
          <w:p w14:paraId="253A234C" w14:textId="2D74EC02"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MRI</w:t>
            </w:r>
          </w:p>
        </w:tc>
        <w:tc>
          <w:tcPr>
            <w:tcW w:w="2265" w:type="dxa"/>
          </w:tcPr>
          <w:p w14:paraId="1803E624" w14:textId="1F8C8AB3"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0.003</w:t>
            </w:r>
          </w:p>
        </w:tc>
        <w:tc>
          <w:tcPr>
            <w:tcW w:w="2355" w:type="dxa"/>
          </w:tcPr>
          <w:p w14:paraId="48EF8BFE" w14:textId="5B7C9D23"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0.013</w:t>
            </w:r>
          </w:p>
        </w:tc>
        <w:tc>
          <w:tcPr>
            <w:tcW w:w="2175" w:type="dxa"/>
          </w:tcPr>
          <w:p w14:paraId="407E27F6" w14:textId="32EBF6BA"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0.011</w:t>
            </w:r>
          </w:p>
        </w:tc>
      </w:tr>
      <w:tr w:rsidR="09BE03B4" w14:paraId="6E0B3EE8" w14:textId="77777777" w:rsidTr="09BE03B4">
        <w:trPr>
          <w:trHeight w:val="300"/>
        </w:trPr>
        <w:tc>
          <w:tcPr>
            <w:tcW w:w="2265" w:type="dxa"/>
          </w:tcPr>
          <w:p w14:paraId="5C84C946" w14:textId="06BA9611"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lastRenderedPageBreak/>
              <w:t>Bone scan</w:t>
            </w:r>
          </w:p>
        </w:tc>
        <w:tc>
          <w:tcPr>
            <w:tcW w:w="2265" w:type="dxa"/>
          </w:tcPr>
          <w:p w14:paraId="02D79324" w14:textId="30B1E216"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0.008</w:t>
            </w:r>
          </w:p>
        </w:tc>
        <w:tc>
          <w:tcPr>
            <w:tcW w:w="2355" w:type="dxa"/>
          </w:tcPr>
          <w:p w14:paraId="19DD1152" w14:textId="2EBE79B9"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0.012</w:t>
            </w:r>
          </w:p>
        </w:tc>
        <w:tc>
          <w:tcPr>
            <w:tcW w:w="2175" w:type="dxa"/>
          </w:tcPr>
          <w:p w14:paraId="660D49FE" w14:textId="315885B1"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0.000</w:t>
            </w:r>
          </w:p>
        </w:tc>
      </w:tr>
      <w:tr w:rsidR="09BE03B4" w14:paraId="274F7189" w14:textId="77777777" w:rsidTr="09BE03B4">
        <w:trPr>
          <w:trHeight w:val="300"/>
        </w:trPr>
        <w:tc>
          <w:tcPr>
            <w:tcW w:w="2265" w:type="dxa"/>
          </w:tcPr>
          <w:p w14:paraId="2BEB82D1" w14:textId="232C6F99"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Ultrasound</w:t>
            </w:r>
          </w:p>
        </w:tc>
        <w:tc>
          <w:tcPr>
            <w:tcW w:w="2265" w:type="dxa"/>
          </w:tcPr>
          <w:p w14:paraId="644F2F7D" w14:textId="31D0077E"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0.003</w:t>
            </w:r>
          </w:p>
        </w:tc>
        <w:tc>
          <w:tcPr>
            <w:tcW w:w="2355" w:type="dxa"/>
          </w:tcPr>
          <w:p w14:paraId="7BCEDBE8" w14:textId="60E08A13"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0.000</w:t>
            </w:r>
          </w:p>
        </w:tc>
        <w:tc>
          <w:tcPr>
            <w:tcW w:w="2175" w:type="dxa"/>
          </w:tcPr>
          <w:p w14:paraId="1B5BA614" w14:textId="4FA0737C"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0.004</w:t>
            </w:r>
          </w:p>
        </w:tc>
      </w:tr>
      <w:tr w:rsidR="09BE03B4" w14:paraId="4CF71348" w14:textId="77777777" w:rsidTr="09BE03B4">
        <w:trPr>
          <w:trHeight w:val="300"/>
        </w:trPr>
        <w:tc>
          <w:tcPr>
            <w:tcW w:w="2265" w:type="dxa"/>
          </w:tcPr>
          <w:p w14:paraId="4B6913AF" w14:textId="6E4845AA"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Conventional x-ray</w:t>
            </w:r>
          </w:p>
        </w:tc>
        <w:tc>
          <w:tcPr>
            <w:tcW w:w="2265" w:type="dxa"/>
          </w:tcPr>
          <w:p w14:paraId="68D1C305" w14:textId="73677A92"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0.011</w:t>
            </w:r>
          </w:p>
        </w:tc>
        <w:tc>
          <w:tcPr>
            <w:tcW w:w="2355" w:type="dxa"/>
          </w:tcPr>
          <w:p w14:paraId="1C26B140" w14:textId="0B7E0D49"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0.070</w:t>
            </w:r>
          </w:p>
        </w:tc>
        <w:tc>
          <w:tcPr>
            <w:tcW w:w="2175" w:type="dxa"/>
          </w:tcPr>
          <w:p w14:paraId="5247AD71" w14:textId="4465EC79"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0.004</w:t>
            </w:r>
          </w:p>
        </w:tc>
      </w:tr>
      <w:tr w:rsidR="09BE03B4" w14:paraId="693FD9A2" w14:textId="77777777" w:rsidTr="09BE03B4">
        <w:trPr>
          <w:trHeight w:val="300"/>
        </w:trPr>
        <w:tc>
          <w:tcPr>
            <w:tcW w:w="2265" w:type="dxa"/>
          </w:tcPr>
          <w:p w14:paraId="432EF596" w14:textId="7C8D78F9"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Complete blood count</w:t>
            </w:r>
          </w:p>
        </w:tc>
        <w:tc>
          <w:tcPr>
            <w:tcW w:w="2265" w:type="dxa"/>
          </w:tcPr>
          <w:p w14:paraId="3E1CD2B0" w14:textId="6DF78653"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0.413</w:t>
            </w:r>
          </w:p>
        </w:tc>
        <w:tc>
          <w:tcPr>
            <w:tcW w:w="2355" w:type="dxa"/>
          </w:tcPr>
          <w:p w14:paraId="23FEE06A" w14:textId="06FC2E10"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0.343</w:t>
            </w:r>
          </w:p>
        </w:tc>
        <w:tc>
          <w:tcPr>
            <w:tcW w:w="2175" w:type="dxa"/>
          </w:tcPr>
          <w:p w14:paraId="765802FC" w14:textId="530C90FF"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0.289</w:t>
            </w:r>
          </w:p>
        </w:tc>
      </w:tr>
      <w:tr w:rsidR="09BE03B4" w14:paraId="478634BB" w14:textId="77777777" w:rsidTr="09BE03B4">
        <w:trPr>
          <w:trHeight w:val="300"/>
        </w:trPr>
        <w:tc>
          <w:tcPr>
            <w:tcW w:w="2265" w:type="dxa"/>
          </w:tcPr>
          <w:p w14:paraId="203594FB" w14:textId="69DFDFE1"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Chemistry panel</w:t>
            </w:r>
          </w:p>
        </w:tc>
        <w:tc>
          <w:tcPr>
            <w:tcW w:w="2265" w:type="dxa"/>
          </w:tcPr>
          <w:p w14:paraId="4614E90C" w14:textId="2BB4A057"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0.505</w:t>
            </w:r>
          </w:p>
        </w:tc>
        <w:tc>
          <w:tcPr>
            <w:tcW w:w="2355" w:type="dxa"/>
          </w:tcPr>
          <w:p w14:paraId="2C6BBF58" w14:textId="6F611FBB"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0.324</w:t>
            </w:r>
          </w:p>
        </w:tc>
        <w:tc>
          <w:tcPr>
            <w:tcW w:w="2175" w:type="dxa"/>
          </w:tcPr>
          <w:p w14:paraId="6226C91A" w14:textId="13EA70D0"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0.370</w:t>
            </w:r>
          </w:p>
        </w:tc>
      </w:tr>
      <w:tr w:rsidR="09BE03B4" w14:paraId="2E002746" w14:textId="77777777" w:rsidTr="09BE03B4">
        <w:trPr>
          <w:trHeight w:val="300"/>
        </w:trPr>
        <w:tc>
          <w:tcPr>
            <w:tcW w:w="2265" w:type="dxa"/>
          </w:tcPr>
          <w:p w14:paraId="0D76EB6B" w14:textId="0C526882"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Liver function test</w:t>
            </w:r>
          </w:p>
        </w:tc>
        <w:tc>
          <w:tcPr>
            <w:tcW w:w="2265" w:type="dxa"/>
          </w:tcPr>
          <w:p w14:paraId="20465D88" w14:textId="345F045A"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0.167</w:t>
            </w:r>
          </w:p>
        </w:tc>
        <w:tc>
          <w:tcPr>
            <w:tcW w:w="2355" w:type="dxa"/>
          </w:tcPr>
          <w:p w14:paraId="5E426930" w14:textId="346FBB65"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0.167</w:t>
            </w:r>
          </w:p>
        </w:tc>
        <w:tc>
          <w:tcPr>
            <w:tcW w:w="2175" w:type="dxa"/>
          </w:tcPr>
          <w:p w14:paraId="7E9E91B7" w14:textId="6C4B127C"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0.167</w:t>
            </w:r>
          </w:p>
        </w:tc>
      </w:tr>
      <w:tr w:rsidR="09BE03B4" w14:paraId="2CD39A46" w14:textId="77777777" w:rsidTr="09BE03B4">
        <w:trPr>
          <w:trHeight w:val="300"/>
        </w:trPr>
        <w:tc>
          <w:tcPr>
            <w:tcW w:w="2265" w:type="dxa"/>
          </w:tcPr>
          <w:p w14:paraId="1D25E742" w14:textId="675FE1A2"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PSA</w:t>
            </w:r>
          </w:p>
        </w:tc>
        <w:tc>
          <w:tcPr>
            <w:tcW w:w="2265" w:type="dxa"/>
          </w:tcPr>
          <w:p w14:paraId="07F7CA25" w14:textId="70F929F7"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0.167</w:t>
            </w:r>
          </w:p>
        </w:tc>
        <w:tc>
          <w:tcPr>
            <w:tcW w:w="2355" w:type="dxa"/>
          </w:tcPr>
          <w:p w14:paraId="44C7F941" w14:textId="03E9B84B"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0.167</w:t>
            </w:r>
          </w:p>
        </w:tc>
        <w:tc>
          <w:tcPr>
            <w:tcW w:w="2175" w:type="dxa"/>
          </w:tcPr>
          <w:p w14:paraId="09565384" w14:textId="58F5E97E"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0.167</w:t>
            </w:r>
          </w:p>
        </w:tc>
      </w:tr>
      <w:tr w:rsidR="09BE03B4" w14:paraId="23C61038" w14:textId="77777777" w:rsidTr="09BE03B4">
        <w:trPr>
          <w:trHeight w:val="300"/>
        </w:trPr>
        <w:tc>
          <w:tcPr>
            <w:tcW w:w="2265" w:type="dxa"/>
          </w:tcPr>
          <w:p w14:paraId="4764C9D5" w14:textId="754489B9"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ECG</w:t>
            </w:r>
          </w:p>
        </w:tc>
        <w:tc>
          <w:tcPr>
            <w:tcW w:w="2265" w:type="dxa"/>
          </w:tcPr>
          <w:p w14:paraId="6EE6CC9F" w14:textId="00355F22"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0.083</w:t>
            </w:r>
          </w:p>
        </w:tc>
        <w:tc>
          <w:tcPr>
            <w:tcW w:w="2355" w:type="dxa"/>
          </w:tcPr>
          <w:p w14:paraId="36EFFB5E" w14:textId="7EA4F9E4"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0.000</w:t>
            </w:r>
          </w:p>
        </w:tc>
        <w:tc>
          <w:tcPr>
            <w:tcW w:w="2175" w:type="dxa"/>
          </w:tcPr>
          <w:p w14:paraId="23AA9E02" w14:textId="689C7BFC"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0.083</w:t>
            </w:r>
          </w:p>
        </w:tc>
      </w:tr>
      <w:tr w:rsidR="09BE03B4" w14:paraId="11FA571C" w14:textId="77777777" w:rsidTr="09BE03B4">
        <w:trPr>
          <w:trHeight w:val="300"/>
        </w:trPr>
        <w:tc>
          <w:tcPr>
            <w:tcW w:w="2265" w:type="dxa"/>
          </w:tcPr>
          <w:p w14:paraId="7DB32E38" w14:textId="727FFB11"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Echocardiography</w:t>
            </w:r>
          </w:p>
        </w:tc>
        <w:tc>
          <w:tcPr>
            <w:tcW w:w="2265" w:type="dxa"/>
          </w:tcPr>
          <w:p w14:paraId="3D8335D3" w14:textId="69CEAFB1"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0.000</w:t>
            </w:r>
          </w:p>
        </w:tc>
        <w:tc>
          <w:tcPr>
            <w:tcW w:w="2355" w:type="dxa"/>
          </w:tcPr>
          <w:p w14:paraId="1F78C794" w14:textId="6692E01D"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0.002</w:t>
            </w:r>
          </w:p>
        </w:tc>
        <w:tc>
          <w:tcPr>
            <w:tcW w:w="2175" w:type="dxa"/>
          </w:tcPr>
          <w:p w14:paraId="0B4E56CF" w14:textId="1C5B4CE5" w:rsidR="09BE03B4" w:rsidRDefault="09BE03B4" w:rsidP="09BE03B4">
            <w:pPr>
              <w:rPr>
                <w:rFonts w:ascii="Times New Roman" w:eastAsia="Times New Roman" w:hAnsi="Times New Roman" w:cs="Times New Roman"/>
                <w:sz w:val="24"/>
                <w:szCs w:val="24"/>
              </w:rPr>
            </w:pPr>
            <w:r w:rsidRPr="09BE03B4">
              <w:rPr>
                <w:rFonts w:ascii="Times New Roman" w:eastAsia="Times New Roman" w:hAnsi="Times New Roman" w:cs="Times New Roman"/>
                <w:sz w:val="24"/>
                <w:szCs w:val="24"/>
              </w:rPr>
              <w:t>0.000</w:t>
            </w:r>
          </w:p>
        </w:tc>
      </w:tr>
    </w:tbl>
    <w:p w14:paraId="30BBB0FD" w14:textId="74827239" w:rsidR="3AC76631" w:rsidRDefault="6CB0D086" w:rsidP="30D56DD0">
      <w:pPr>
        <w:spacing w:before="240" w:after="240"/>
        <w:rPr>
          <w:rFonts w:ascii="Times New Roman" w:eastAsia="Times New Roman" w:hAnsi="Times New Roman" w:cs="Times New Roman"/>
          <w:i/>
          <w:iCs/>
        </w:rPr>
      </w:pPr>
      <w:r w:rsidRPr="30D56DD0">
        <w:rPr>
          <w:rFonts w:ascii="Times New Roman" w:eastAsia="Times New Roman" w:hAnsi="Times New Roman" w:cs="Times New Roman"/>
          <w:i/>
          <w:iCs/>
        </w:rPr>
        <w:t>Source: Company submission from NICE TA391, Table 63 (UK observational study), SD = Stable Disease, PD = Progressive Disease</w:t>
      </w:r>
    </w:p>
    <w:p w14:paraId="2FF82182" w14:textId="57BCFB61" w:rsidR="30D56DD0" w:rsidRDefault="30D56DD0" w:rsidP="30D56DD0">
      <w:pPr>
        <w:spacing w:before="240" w:after="240"/>
        <w:rPr>
          <w:rFonts w:ascii="Times New Roman" w:eastAsia="Times New Roman" w:hAnsi="Times New Roman" w:cs="Times New Roman"/>
          <w:i/>
          <w:iCs/>
        </w:rPr>
      </w:pPr>
    </w:p>
    <w:p w14:paraId="1F049E6C" w14:textId="51775057" w:rsidR="3AC76631" w:rsidRDefault="3A510701" w:rsidP="09BE03B4">
      <w:pPr>
        <w:spacing w:before="240" w:after="240"/>
        <w:rPr>
          <w:rFonts w:ascii="Times New Roman" w:eastAsia="Times New Roman" w:hAnsi="Times New Roman" w:cs="Times New Roman"/>
          <w:b/>
          <w:bCs/>
          <w:sz w:val="24"/>
          <w:szCs w:val="24"/>
        </w:rPr>
      </w:pPr>
      <w:r w:rsidRPr="30D56DD0">
        <w:rPr>
          <w:rFonts w:ascii="Times New Roman" w:eastAsia="Times New Roman" w:hAnsi="Times New Roman" w:cs="Times New Roman"/>
          <w:b/>
          <w:bCs/>
          <w:sz w:val="24"/>
          <w:szCs w:val="24"/>
        </w:rPr>
        <w:t>Table</w:t>
      </w:r>
      <w:r w:rsidR="7987618C" w:rsidRPr="30D56DD0">
        <w:rPr>
          <w:rFonts w:ascii="Times New Roman" w:eastAsia="Times New Roman" w:hAnsi="Times New Roman" w:cs="Times New Roman"/>
          <w:b/>
          <w:bCs/>
          <w:sz w:val="24"/>
          <w:szCs w:val="24"/>
        </w:rPr>
        <w:t xml:space="preserve"> </w:t>
      </w:r>
      <w:r w:rsidR="77278F5A" w:rsidRPr="30D56DD0">
        <w:rPr>
          <w:rFonts w:ascii="Times New Roman" w:eastAsia="Times New Roman" w:hAnsi="Times New Roman" w:cs="Times New Roman"/>
          <w:b/>
          <w:bCs/>
          <w:sz w:val="24"/>
          <w:szCs w:val="24"/>
        </w:rPr>
        <w:t>C</w:t>
      </w:r>
      <w:r w:rsidR="5805B790" w:rsidRPr="30D56DD0">
        <w:rPr>
          <w:rFonts w:ascii="Times New Roman" w:eastAsia="Times New Roman" w:hAnsi="Times New Roman" w:cs="Times New Roman"/>
          <w:b/>
          <w:bCs/>
          <w:sz w:val="24"/>
          <w:szCs w:val="24"/>
        </w:rPr>
        <w:t>4</w:t>
      </w:r>
      <w:r w:rsidR="52438542" w:rsidRPr="30D56DD0">
        <w:rPr>
          <w:rFonts w:ascii="Times New Roman" w:eastAsia="Times New Roman" w:hAnsi="Times New Roman" w:cs="Times New Roman"/>
          <w:b/>
          <w:bCs/>
          <w:sz w:val="24"/>
          <w:szCs w:val="24"/>
        </w:rPr>
        <w:t>.</w:t>
      </w:r>
      <w:r w:rsidR="7987618C" w:rsidRPr="30D56DD0">
        <w:rPr>
          <w:rFonts w:ascii="Times New Roman" w:eastAsia="Times New Roman" w:hAnsi="Times New Roman" w:cs="Times New Roman"/>
          <w:b/>
          <w:bCs/>
          <w:sz w:val="24"/>
          <w:szCs w:val="24"/>
        </w:rPr>
        <w:t xml:space="preserve"> </w:t>
      </w:r>
      <w:r w:rsidR="227A524E" w:rsidRPr="30D56DD0">
        <w:rPr>
          <w:rFonts w:ascii="Times New Roman" w:eastAsia="Times New Roman" w:hAnsi="Times New Roman" w:cs="Times New Roman"/>
          <w:b/>
          <w:bCs/>
          <w:sz w:val="24"/>
          <w:szCs w:val="24"/>
        </w:rPr>
        <w:t>P</w:t>
      </w:r>
      <w:r w:rsidR="5F047B34" w:rsidRPr="30D56DD0">
        <w:rPr>
          <w:rFonts w:ascii="Times New Roman" w:eastAsia="Times New Roman" w:hAnsi="Times New Roman" w:cs="Times New Roman"/>
          <w:b/>
          <w:bCs/>
          <w:sz w:val="24"/>
          <w:szCs w:val="24"/>
        </w:rPr>
        <w:t>robability distributions and their assigned modelled parameters</w:t>
      </w:r>
    </w:p>
    <w:tbl>
      <w:tblPr>
        <w:tblStyle w:val="TableGrid"/>
        <w:tblW w:w="0" w:type="auto"/>
        <w:tblLook w:val="04A0" w:firstRow="1" w:lastRow="0" w:firstColumn="1" w:lastColumn="0" w:noHBand="0" w:noVBand="1"/>
      </w:tblPr>
      <w:tblGrid>
        <w:gridCol w:w="1560"/>
        <w:gridCol w:w="2400"/>
        <w:gridCol w:w="2835"/>
        <w:gridCol w:w="2265"/>
      </w:tblGrid>
      <w:tr w:rsidR="440D62A7" w14:paraId="0241956C" w14:textId="77777777" w:rsidTr="440D62A7">
        <w:trPr>
          <w:trHeight w:val="300"/>
        </w:trPr>
        <w:tc>
          <w:tcPr>
            <w:tcW w:w="1560" w:type="dxa"/>
            <w:tcBorders>
              <w:top w:val="single" w:sz="8" w:space="0" w:color="auto"/>
              <w:left w:val="nil"/>
              <w:bottom w:val="single" w:sz="8" w:space="0" w:color="auto"/>
              <w:right w:val="nil"/>
            </w:tcBorders>
            <w:tcMar>
              <w:left w:w="108" w:type="dxa"/>
              <w:right w:w="108" w:type="dxa"/>
            </w:tcMar>
          </w:tcPr>
          <w:p w14:paraId="0A3DE880" w14:textId="5DEE7980" w:rsidR="440D62A7" w:rsidRDefault="440D62A7" w:rsidP="440D62A7">
            <w:pPr>
              <w:rPr>
                <w:rFonts w:ascii="Times New Roman" w:eastAsia="Times New Roman" w:hAnsi="Times New Roman" w:cs="Times New Roman"/>
                <w:b/>
                <w:bCs/>
                <w:sz w:val="24"/>
                <w:szCs w:val="24"/>
              </w:rPr>
            </w:pPr>
            <w:r w:rsidRPr="440D62A7">
              <w:rPr>
                <w:rFonts w:ascii="Times New Roman" w:eastAsia="Times New Roman" w:hAnsi="Times New Roman" w:cs="Times New Roman"/>
                <w:b/>
                <w:bCs/>
                <w:sz w:val="24"/>
                <w:szCs w:val="24"/>
              </w:rPr>
              <w:t>Distribution</w:t>
            </w:r>
          </w:p>
        </w:tc>
        <w:tc>
          <w:tcPr>
            <w:tcW w:w="2400" w:type="dxa"/>
            <w:tcBorders>
              <w:top w:val="single" w:sz="8" w:space="0" w:color="auto"/>
              <w:left w:val="nil"/>
              <w:bottom w:val="single" w:sz="8" w:space="0" w:color="auto"/>
              <w:right w:val="nil"/>
            </w:tcBorders>
            <w:tcMar>
              <w:left w:w="108" w:type="dxa"/>
              <w:right w:w="108" w:type="dxa"/>
            </w:tcMar>
          </w:tcPr>
          <w:p w14:paraId="70986C06" w14:textId="54DAF0B4" w:rsidR="440D62A7" w:rsidRDefault="440D62A7" w:rsidP="440D62A7">
            <w:pPr>
              <w:rPr>
                <w:rFonts w:ascii="Times New Roman" w:eastAsia="Times New Roman" w:hAnsi="Times New Roman" w:cs="Times New Roman"/>
                <w:b/>
                <w:bCs/>
                <w:sz w:val="24"/>
                <w:szCs w:val="24"/>
              </w:rPr>
            </w:pPr>
            <w:r w:rsidRPr="440D62A7">
              <w:rPr>
                <w:rFonts w:ascii="Times New Roman" w:eastAsia="Times New Roman" w:hAnsi="Times New Roman" w:cs="Times New Roman"/>
                <w:b/>
                <w:bCs/>
                <w:sz w:val="24"/>
                <w:szCs w:val="24"/>
              </w:rPr>
              <w:t>Comment</w:t>
            </w:r>
          </w:p>
        </w:tc>
        <w:tc>
          <w:tcPr>
            <w:tcW w:w="2835" w:type="dxa"/>
            <w:tcBorders>
              <w:top w:val="single" w:sz="8" w:space="0" w:color="auto"/>
              <w:left w:val="nil"/>
              <w:bottom w:val="single" w:sz="8" w:space="0" w:color="auto"/>
              <w:right w:val="nil"/>
            </w:tcBorders>
            <w:tcMar>
              <w:left w:w="108" w:type="dxa"/>
              <w:right w:w="108" w:type="dxa"/>
            </w:tcMar>
          </w:tcPr>
          <w:p w14:paraId="35ED0DC5" w14:textId="14C0BB44" w:rsidR="440D62A7" w:rsidRDefault="440D62A7" w:rsidP="440D62A7">
            <w:pPr>
              <w:rPr>
                <w:rFonts w:ascii="Times New Roman" w:eastAsia="Times New Roman" w:hAnsi="Times New Roman" w:cs="Times New Roman"/>
                <w:b/>
                <w:bCs/>
                <w:sz w:val="24"/>
                <w:szCs w:val="24"/>
              </w:rPr>
            </w:pPr>
            <w:r w:rsidRPr="440D62A7">
              <w:rPr>
                <w:rFonts w:ascii="Times New Roman" w:eastAsia="Times New Roman" w:hAnsi="Times New Roman" w:cs="Times New Roman"/>
                <w:b/>
                <w:bCs/>
                <w:sz w:val="24"/>
                <w:szCs w:val="24"/>
              </w:rPr>
              <w:t>Parameter modelled</w:t>
            </w:r>
          </w:p>
        </w:tc>
        <w:tc>
          <w:tcPr>
            <w:tcW w:w="2265" w:type="dxa"/>
            <w:tcBorders>
              <w:top w:val="single" w:sz="8" w:space="0" w:color="auto"/>
              <w:left w:val="nil"/>
              <w:bottom w:val="single" w:sz="8" w:space="0" w:color="auto"/>
              <w:right w:val="nil"/>
            </w:tcBorders>
            <w:tcMar>
              <w:left w:w="108" w:type="dxa"/>
              <w:right w:w="108" w:type="dxa"/>
            </w:tcMar>
          </w:tcPr>
          <w:p w14:paraId="2E6BF346" w14:textId="1B8690DB" w:rsidR="440D62A7" w:rsidRDefault="440D62A7" w:rsidP="440D62A7">
            <w:pPr>
              <w:rPr>
                <w:rFonts w:ascii="Times New Roman" w:eastAsia="Times New Roman" w:hAnsi="Times New Roman" w:cs="Times New Roman"/>
                <w:b/>
                <w:bCs/>
                <w:sz w:val="24"/>
                <w:szCs w:val="24"/>
              </w:rPr>
            </w:pPr>
            <w:r w:rsidRPr="440D62A7">
              <w:rPr>
                <w:rFonts w:ascii="Times New Roman" w:eastAsia="Times New Roman" w:hAnsi="Times New Roman" w:cs="Times New Roman"/>
                <w:b/>
                <w:bCs/>
                <w:sz w:val="24"/>
                <w:szCs w:val="24"/>
              </w:rPr>
              <w:t>Form</w:t>
            </w:r>
          </w:p>
        </w:tc>
      </w:tr>
      <w:tr w:rsidR="440D62A7" w14:paraId="08268CE3" w14:textId="77777777" w:rsidTr="440D62A7">
        <w:trPr>
          <w:trHeight w:val="300"/>
        </w:trPr>
        <w:tc>
          <w:tcPr>
            <w:tcW w:w="1560" w:type="dxa"/>
            <w:tcBorders>
              <w:top w:val="single" w:sz="8" w:space="0" w:color="auto"/>
              <w:left w:val="nil"/>
              <w:bottom w:val="nil"/>
              <w:right w:val="nil"/>
            </w:tcBorders>
            <w:tcMar>
              <w:left w:w="108" w:type="dxa"/>
              <w:right w:w="108" w:type="dxa"/>
            </w:tcMar>
          </w:tcPr>
          <w:p w14:paraId="2EB27ADD" w14:textId="4C346EDC" w:rsidR="440D62A7" w:rsidRDefault="440D62A7" w:rsidP="440D62A7">
            <w:pPr>
              <w:rPr>
                <w:rFonts w:ascii="Times New Roman" w:eastAsia="Times New Roman" w:hAnsi="Times New Roman" w:cs="Times New Roman"/>
                <w:b/>
                <w:bCs/>
                <w:sz w:val="24"/>
                <w:szCs w:val="24"/>
              </w:rPr>
            </w:pPr>
            <w:r w:rsidRPr="440D62A7">
              <w:rPr>
                <w:rFonts w:ascii="Times New Roman" w:eastAsia="Times New Roman" w:hAnsi="Times New Roman" w:cs="Times New Roman"/>
                <w:b/>
                <w:bCs/>
                <w:sz w:val="24"/>
                <w:szCs w:val="24"/>
              </w:rPr>
              <w:t>Beta</w:t>
            </w:r>
          </w:p>
        </w:tc>
        <w:tc>
          <w:tcPr>
            <w:tcW w:w="2400" w:type="dxa"/>
            <w:tcBorders>
              <w:top w:val="single" w:sz="8" w:space="0" w:color="auto"/>
              <w:left w:val="nil"/>
              <w:bottom w:val="nil"/>
              <w:right w:val="nil"/>
            </w:tcBorders>
            <w:tcMar>
              <w:left w:w="108" w:type="dxa"/>
              <w:right w:w="108" w:type="dxa"/>
            </w:tcMar>
          </w:tcPr>
          <w:p w14:paraId="3AD7A2EC" w14:textId="0D88E27D" w:rsidR="440D62A7" w:rsidRDefault="440D62A7" w:rsidP="440D62A7">
            <w:pPr>
              <w:rPr>
                <w:rFonts w:ascii="Times New Roman" w:eastAsia="Times New Roman" w:hAnsi="Times New Roman" w:cs="Times New Roman"/>
                <w:sz w:val="24"/>
                <w:szCs w:val="24"/>
              </w:rPr>
            </w:pPr>
            <w:r w:rsidRPr="440D62A7">
              <w:rPr>
                <w:rFonts w:ascii="Times New Roman" w:eastAsia="Times New Roman" w:hAnsi="Times New Roman" w:cs="Times New Roman"/>
                <w:sz w:val="24"/>
                <w:szCs w:val="24"/>
              </w:rPr>
              <w:t>Parameters constrained between 0 and 1</w:t>
            </w:r>
          </w:p>
        </w:tc>
        <w:tc>
          <w:tcPr>
            <w:tcW w:w="2835" w:type="dxa"/>
            <w:tcBorders>
              <w:top w:val="single" w:sz="8" w:space="0" w:color="auto"/>
              <w:left w:val="nil"/>
              <w:bottom w:val="nil"/>
              <w:right w:val="nil"/>
            </w:tcBorders>
            <w:tcMar>
              <w:left w:w="108" w:type="dxa"/>
              <w:right w:w="108" w:type="dxa"/>
            </w:tcMar>
          </w:tcPr>
          <w:p w14:paraId="7AF4377A" w14:textId="2C8AD557" w:rsidR="440D62A7" w:rsidRDefault="440D62A7" w:rsidP="440D62A7">
            <w:pPr>
              <w:rPr>
                <w:rFonts w:ascii="Times New Roman" w:eastAsia="Times New Roman" w:hAnsi="Times New Roman" w:cs="Times New Roman"/>
                <w:sz w:val="24"/>
                <w:szCs w:val="24"/>
              </w:rPr>
            </w:pPr>
            <w:r w:rsidRPr="440D62A7">
              <w:rPr>
                <w:rFonts w:ascii="Times New Roman" w:eastAsia="Times New Roman" w:hAnsi="Times New Roman" w:cs="Times New Roman"/>
                <w:sz w:val="24"/>
                <w:szCs w:val="24"/>
              </w:rPr>
              <w:t>(Dis)utility values</w:t>
            </w:r>
          </w:p>
          <w:p w14:paraId="7F7EADEA" w14:textId="441FBFF0" w:rsidR="440D62A7" w:rsidRDefault="440D62A7" w:rsidP="440D62A7">
            <w:pPr>
              <w:rPr>
                <w:rFonts w:ascii="Times New Roman" w:eastAsia="Times New Roman" w:hAnsi="Times New Roman" w:cs="Times New Roman"/>
                <w:sz w:val="24"/>
                <w:szCs w:val="24"/>
              </w:rPr>
            </w:pPr>
            <w:r w:rsidRPr="440D62A7">
              <w:rPr>
                <w:rFonts w:ascii="Times New Roman" w:eastAsia="Times New Roman" w:hAnsi="Times New Roman" w:cs="Times New Roman"/>
                <w:sz w:val="24"/>
                <w:szCs w:val="24"/>
              </w:rPr>
              <w:t>Incidence of adverse events</w:t>
            </w:r>
          </w:p>
          <w:p w14:paraId="2DCDDB52" w14:textId="26628E7F" w:rsidR="440D62A7" w:rsidRDefault="440D62A7" w:rsidP="440D62A7">
            <w:pPr>
              <w:rPr>
                <w:rFonts w:ascii="Times New Roman" w:eastAsia="Times New Roman" w:hAnsi="Times New Roman" w:cs="Times New Roman"/>
                <w:sz w:val="24"/>
                <w:szCs w:val="24"/>
              </w:rPr>
            </w:pPr>
            <w:r w:rsidRPr="440D62A7">
              <w:rPr>
                <w:rFonts w:ascii="Times New Roman" w:eastAsia="Times New Roman" w:hAnsi="Times New Roman" w:cs="Times New Roman"/>
                <w:sz w:val="24"/>
                <w:szCs w:val="24"/>
              </w:rPr>
              <w:t xml:space="preserve"> </w:t>
            </w:r>
          </w:p>
        </w:tc>
        <w:tc>
          <w:tcPr>
            <w:tcW w:w="2265" w:type="dxa"/>
            <w:tcBorders>
              <w:top w:val="single" w:sz="8" w:space="0" w:color="auto"/>
              <w:left w:val="nil"/>
              <w:bottom w:val="nil"/>
              <w:right w:val="nil"/>
            </w:tcBorders>
            <w:tcMar>
              <w:left w:w="108" w:type="dxa"/>
              <w:right w:w="108" w:type="dxa"/>
            </w:tcMar>
          </w:tcPr>
          <w:p w14:paraId="466DE401" w14:textId="0E9F2AEA" w:rsidR="440D62A7" w:rsidRDefault="440D62A7" w:rsidP="440D62A7">
            <w:pPr>
              <w:rPr>
                <w:rFonts w:ascii="Times New Roman" w:eastAsia="Times New Roman" w:hAnsi="Times New Roman" w:cs="Times New Roman"/>
                <w:sz w:val="24"/>
                <w:szCs w:val="24"/>
              </w:rPr>
            </w:pPr>
            <w:r w:rsidRPr="440D62A7">
              <w:rPr>
                <w:rFonts w:ascii="Times New Roman" w:eastAsia="Times New Roman" w:hAnsi="Times New Roman" w:cs="Times New Roman"/>
                <w:sz w:val="24"/>
                <w:szCs w:val="24"/>
              </w:rPr>
              <w:t>Beta(α,β)</w:t>
            </w:r>
          </w:p>
          <w:p w14:paraId="19A03A58" w14:textId="17BC04D3" w:rsidR="440D62A7" w:rsidRDefault="440D62A7" w:rsidP="440D62A7">
            <w:pPr>
              <w:rPr>
                <w:rFonts w:ascii="Times New Roman" w:eastAsia="Times New Roman" w:hAnsi="Times New Roman" w:cs="Times New Roman"/>
                <w:sz w:val="24"/>
                <w:szCs w:val="24"/>
              </w:rPr>
            </w:pPr>
            <w:r w:rsidRPr="440D62A7">
              <w:rPr>
                <w:rFonts w:ascii="Times New Roman" w:eastAsia="Times New Roman" w:hAnsi="Times New Roman" w:cs="Times New Roman"/>
                <w:sz w:val="24"/>
                <w:szCs w:val="24"/>
              </w:rPr>
              <w:t>α: number of events</w:t>
            </w:r>
          </w:p>
          <w:p w14:paraId="5EACBE77" w14:textId="363C41D9" w:rsidR="440D62A7" w:rsidRDefault="440D62A7" w:rsidP="440D62A7">
            <w:pPr>
              <w:rPr>
                <w:rFonts w:ascii="Times New Roman" w:eastAsia="Times New Roman" w:hAnsi="Times New Roman" w:cs="Times New Roman"/>
                <w:sz w:val="24"/>
                <w:szCs w:val="24"/>
              </w:rPr>
            </w:pPr>
            <w:r w:rsidRPr="440D62A7">
              <w:rPr>
                <w:rFonts w:ascii="Times New Roman" w:eastAsia="Times New Roman" w:hAnsi="Times New Roman" w:cs="Times New Roman"/>
                <w:sz w:val="24"/>
                <w:szCs w:val="24"/>
              </w:rPr>
              <w:t>β: number of non-events</w:t>
            </w:r>
          </w:p>
        </w:tc>
      </w:tr>
      <w:tr w:rsidR="440D62A7" w14:paraId="5D97C91F" w14:textId="77777777" w:rsidTr="440D62A7">
        <w:trPr>
          <w:trHeight w:val="300"/>
        </w:trPr>
        <w:tc>
          <w:tcPr>
            <w:tcW w:w="1560" w:type="dxa"/>
            <w:tcBorders>
              <w:top w:val="nil"/>
              <w:left w:val="nil"/>
              <w:bottom w:val="nil"/>
              <w:right w:val="nil"/>
            </w:tcBorders>
            <w:tcMar>
              <w:left w:w="108" w:type="dxa"/>
              <w:right w:w="108" w:type="dxa"/>
            </w:tcMar>
          </w:tcPr>
          <w:p w14:paraId="4B51734F" w14:textId="0BDA6298" w:rsidR="440D62A7" w:rsidRDefault="440D62A7" w:rsidP="440D62A7">
            <w:pPr>
              <w:rPr>
                <w:rFonts w:ascii="Times New Roman" w:eastAsia="Times New Roman" w:hAnsi="Times New Roman" w:cs="Times New Roman"/>
                <w:b/>
                <w:bCs/>
                <w:sz w:val="24"/>
                <w:szCs w:val="24"/>
              </w:rPr>
            </w:pPr>
            <w:r w:rsidRPr="440D62A7">
              <w:rPr>
                <w:rFonts w:ascii="Times New Roman" w:eastAsia="Times New Roman" w:hAnsi="Times New Roman" w:cs="Times New Roman"/>
                <w:b/>
                <w:bCs/>
                <w:sz w:val="24"/>
                <w:szCs w:val="24"/>
              </w:rPr>
              <w:t>Dirichlet</w:t>
            </w:r>
          </w:p>
        </w:tc>
        <w:tc>
          <w:tcPr>
            <w:tcW w:w="2400" w:type="dxa"/>
            <w:tcBorders>
              <w:top w:val="nil"/>
              <w:left w:val="nil"/>
              <w:bottom w:val="nil"/>
              <w:right w:val="nil"/>
            </w:tcBorders>
            <w:tcMar>
              <w:left w:w="108" w:type="dxa"/>
              <w:right w:w="108" w:type="dxa"/>
            </w:tcMar>
          </w:tcPr>
          <w:p w14:paraId="00C677D2" w14:textId="700F04F8" w:rsidR="440D62A7" w:rsidRDefault="440D62A7" w:rsidP="440D62A7">
            <w:pPr>
              <w:rPr>
                <w:rFonts w:ascii="Times New Roman" w:eastAsia="Times New Roman" w:hAnsi="Times New Roman" w:cs="Times New Roman"/>
                <w:sz w:val="24"/>
                <w:szCs w:val="24"/>
              </w:rPr>
            </w:pPr>
            <w:r w:rsidRPr="440D62A7">
              <w:rPr>
                <w:rFonts w:ascii="Times New Roman" w:eastAsia="Times New Roman" w:hAnsi="Times New Roman" w:cs="Times New Roman"/>
                <w:sz w:val="24"/>
                <w:szCs w:val="24"/>
              </w:rPr>
              <w:t>Extension of the beta distribution, where the probability of multiple outcomes sums up to 1</w:t>
            </w:r>
          </w:p>
        </w:tc>
        <w:tc>
          <w:tcPr>
            <w:tcW w:w="2835" w:type="dxa"/>
            <w:tcBorders>
              <w:top w:val="nil"/>
              <w:left w:val="nil"/>
              <w:bottom w:val="nil"/>
              <w:right w:val="nil"/>
            </w:tcBorders>
            <w:tcMar>
              <w:left w:w="108" w:type="dxa"/>
              <w:right w:w="108" w:type="dxa"/>
            </w:tcMar>
          </w:tcPr>
          <w:p w14:paraId="3AFE5EC2" w14:textId="77A912ED" w:rsidR="440D62A7" w:rsidRDefault="440D62A7" w:rsidP="440D62A7">
            <w:pPr>
              <w:rPr>
                <w:rFonts w:ascii="Times New Roman" w:eastAsia="Times New Roman" w:hAnsi="Times New Roman" w:cs="Times New Roman"/>
                <w:sz w:val="24"/>
                <w:szCs w:val="24"/>
              </w:rPr>
            </w:pPr>
            <w:r w:rsidRPr="440D62A7">
              <w:rPr>
                <w:rFonts w:ascii="Times New Roman" w:eastAsia="Times New Roman" w:hAnsi="Times New Roman" w:cs="Times New Roman"/>
                <w:sz w:val="24"/>
                <w:szCs w:val="24"/>
              </w:rPr>
              <w:t>Treatment options of post-second-line chemotherapy</w:t>
            </w:r>
          </w:p>
        </w:tc>
        <w:tc>
          <w:tcPr>
            <w:tcW w:w="2265" w:type="dxa"/>
            <w:tcBorders>
              <w:top w:val="nil"/>
              <w:left w:val="nil"/>
              <w:bottom w:val="nil"/>
              <w:right w:val="nil"/>
            </w:tcBorders>
            <w:tcMar>
              <w:left w:w="108" w:type="dxa"/>
              <w:right w:w="108" w:type="dxa"/>
            </w:tcMar>
          </w:tcPr>
          <w:p w14:paraId="3C9949A9" w14:textId="12A2EB60" w:rsidR="440D62A7" w:rsidRDefault="440D62A7" w:rsidP="440D62A7">
            <w:pPr>
              <w:rPr>
                <w:rFonts w:ascii="Times New Roman" w:eastAsia="Times New Roman" w:hAnsi="Times New Roman" w:cs="Times New Roman"/>
                <w:sz w:val="24"/>
                <w:szCs w:val="24"/>
              </w:rPr>
            </w:pPr>
            <w:r w:rsidRPr="440D62A7">
              <w:rPr>
                <w:rFonts w:ascii="Times New Roman" w:eastAsia="Times New Roman" w:hAnsi="Times New Roman" w:cs="Times New Roman"/>
                <w:sz w:val="24"/>
                <w:szCs w:val="24"/>
              </w:rPr>
              <w:t>-</w:t>
            </w:r>
          </w:p>
        </w:tc>
      </w:tr>
      <w:tr w:rsidR="440D62A7" w14:paraId="07C1F6A2" w14:textId="77777777" w:rsidTr="440D62A7">
        <w:trPr>
          <w:trHeight w:val="300"/>
        </w:trPr>
        <w:tc>
          <w:tcPr>
            <w:tcW w:w="1560" w:type="dxa"/>
            <w:tcBorders>
              <w:top w:val="nil"/>
              <w:left w:val="nil"/>
              <w:bottom w:val="single" w:sz="8" w:space="0" w:color="auto"/>
              <w:right w:val="nil"/>
            </w:tcBorders>
            <w:tcMar>
              <w:left w:w="108" w:type="dxa"/>
              <w:right w:w="108" w:type="dxa"/>
            </w:tcMar>
          </w:tcPr>
          <w:p w14:paraId="5B177660" w14:textId="48DD26A3" w:rsidR="440D62A7" w:rsidRDefault="440D62A7" w:rsidP="440D62A7">
            <w:pPr>
              <w:rPr>
                <w:rFonts w:ascii="Times New Roman" w:eastAsia="Times New Roman" w:hAnsi="Times New Roman" w:cs="Times New Roman"/>
                <w:b/>
                <w:bCs/>
                <w:sz w:val="24"/>
                <w:szCs w:val="24"/>
              </w:rPr>
            </w:pPr>
            <w:r w:rsidRPr="440D62A7">
              <w:rPr>
                <w:rFonts w:ascii="Times New Roman" w:eastAsia="Times New Roman" w:hAnsi="Times New Roman" w:cs="Times New Roman"/>
                <w:b/>
                <w:bCs/>
                <w:sz w:val="24"/>
                <w:szCs w:val="24"/>
              </w:rPr>
              <w:t xml:space="preserve"> </w:t>
            </w:r>
          </w:p>
          <w:p w14:paraId="6A2916DD" w14:textId="7843A163" w:rsidR="440D62A7" w:rsidRDefault="440D62A7" w:rsidP="440D62A7">
            <w:pPr>
              <w:rPr>
                <w:rFonts w:ascii="Times New Roman" w:eastAsia="Times New Roman" w:hAnsi="Times New Roman" w:cs="Times New Roman"/>
                <w:b/>
                <w:bCs/>
                <w:sz w:val="24"/>
                <w:szCs w:val="24"/>
              </w:rPr>
            </w:pPr>
            <w:r w:rsidRPr="440D62A7">
              <w:rPr>
                <w:rFonts w:ascii="Times New Roman" w:eastAsia="Times New Roman" w:hAnsi="Times New Roman" w:cs="Times New Roman"/>
                <w:b/>
                <w:bCs/>
                <w:sz w:val="24"/>
                <w:szCs w:val="24"/>
              </w:rPr>
              <w:t>Gamma</w:t>
            </w:r>
          </w:p>
        </w:tc>
        <w:tc>
          <w:tcPr>
            <w:tcW w:w="2400" w:type="dxa"/>
            <w:tcBorders>
              <w:top w:val="nil"/>
              <w:left w:val="nil"/>
              <w:bottom w:val="single" w:sz="8" w:space="0" w:color="auto"/>
              <w:right w:val="nil"/>
            </w:tcBorders>
            <w:tcMar>
              <w:left w:w="108" w:type="dxa"/>
              <w:right w:w="108" w:type="dxa"/>
            </w:tcMar>
          </w:tcPr>
          <w:p w14:paraId="5150FA24" w14:textId="6EFA984D" w:rsidR="440D62A7" w:rsidRDefault="440D62A7" w:rsidP="440D62A7">
            <w:pPr>
              <w:rPr>
                <w:rFonts w:ascii="Times New Roman" w:eastAsia="Times New Roman" w:hAnsi="Times New Roman" w:cs="Times New Roman"/>
                <w:sz w:val="24"/>
                <w:szCs w:val="24"/>
              </w:rPr>
            </w:pPr>
            <w:r w:rsidRPr="440D62A7">
              <w:rPr>
                <w:rFonts w:ascii="Times New Roman" w:eastAsia="Times New Roman" w:hAnsi="Times New Roman" w:cs="Times New Roman"/>
                <w:sz w:val="24"/>
                <w:szCs w:val="24"/>
              </w:rPr>
              <w:t xml:space="preserve"> </w:t>
            </w:r>
          </w:p>
          <w:p w14:paraId="67E2F793" w14:textId="4CA094E9" w:rsidR="440D62A7" w:rsidRDefault="440D62A7" w:rsidP="440D62A7">
            <w:pPr>
              <w:rPr>
                <w:rFonts w:ascii="Times New Roman" w:eastAsia="Times New Roman" w:hAnsi="Times New Roman" w:cs="Times New Roman"/>
                <w:sz w:val="24"/>
                <w:szCs w:val="24"/>
              </w:rPr>
            </w:pPr>
            <w:r w:rsidRPr="440D62A7">
              <w:rPr>
                <w:rFonts w:ascii="Times New Roman" w:eastAsia="Times New Roman" w:hAnsi="Times New Roman" w:cs="Times New Roman"/>
                <w:sz w:val="24"/>
                <w:szCs w:val="24"/>
              </w:rPr>
              <w:t>Parameters with positive values only, i.e. &gt; 0</w:t>
            </w:r>
          </w:p>
        </w:tc>
        <w:tc>
          <w:tcPr>
            <w:tcW w:w="2835" w:type="dxa"/>
            <w:tcBorders>
              <w:top w:val="nil"/>
              <w:left w:val="nil"/>
              <w:bottom w:val="single" w:sz="8" w:space="0" w:color="auto"/>
              <w:right w:val="nil"/>
            </w:tcBorders>
            <w:tcMar>
              <w:left w:w="108" w:type="dxa"/>
              <w:right w:w="108" w:type="dxa"/>
            </w:tcMar>
          </w:tcPr>
          <w:p w14:paraId="54CC9F88" w14:textId="1F5DEFD0" w:rsidR="440D62A7" w:rsidRDefault="440D62A7" w:rsidP="440D62A7">
            <w:pPr>
              <w:rPr>
                <w:rFonts w:ascii="Times New Roman" w:eastAsia="Times New Roman" w:hAnsi="Times New Roman" w:cs="Times New Roman"/>
                <w:sz w:val="24"/>
                <w:szCs w:val="24"/>
              </w:rPr>
            </w:pPr>
            <w:r w:rsidRPr="440D62A7">
              <w:rPr>
                <w:rFonts w:ascii="Times New Roman" w:eastAsia="Times New Roman" w:hAnsi="Times New Roman" w:cs="Times New Roman"/>
                <w:sz w:val="24"/>
                <w:szCs w:val="24"/>
              </w:rPr>
              <w:t xml:space="preserve"> </w:t>
            </w:r>
          </w:p>
          <w:p w14:paraId="41D8D29D" w14:textId="51C0BCF7" w:rsidR="440D62A7" w:rsidRDefault="440D62A7" w:rsidP="440D62A7">
            <w:pPr>
              <w:rPr>
                <w:rFonts w:ascii="Times New Roman" w:eastAsia="Times New Roman" w:hAnsi="Times New Roman" w:cs="Times New Roman"/>
                <w:sz w:val="24"/>
                <w:szCs w:val="24"/>
              </w:rPr>
            </w:pPr>
            <w:r w:rsidRPr="440D62A7">
              <w:rPr>
                <w:rFonts w:ascii="Times New Roman" w:eastAsia="Times New Roman" w:hAnsi="Times New Roman" w:cs="Times New Roman"/>
                <w:sz w:val="24"/>
                <w:szCs w:val="24"/>
              </w:rPr>
              <w:t>Costs</w:t>
            </w:r>
          </w:p>
          <w:p w14:paraId="6E5B669B" w14:textId="7ABE7AD5" w:rsidR="440D62A7" w:rsidRDefault="440D62A7" w:rsidP="440D62A7">
            <w:pPr>
              <w:rPr>
                <w:rFonts w:ascii="Times New Roman" w:eastAsia="Times New Roman" w:hAnsi="Times New Roman" w:cs="Times New Roman"/>
                <w:sz w:val="24"/>
                <w:szCs w:val="24"/>
              </w:rPr>
            </w:pPr>
            <w:r w:rsidRPr="440D62A7">
              <w:rPr>
                <w:rFonts w:ascii="Times New Roman" w:eastAsia="Times New Roman" w:hAnsi="Times New Roman" w:cs="Times New Roman"/>
                <w:sz w:val="24"/>
                <w:szCs w:val="24"/>
              </w:rPr>
              <w:t>Patient characteristics</w:t>
            </w:r>
          </w:p>
          <w:p w14:paraId="01EC4D80" w14:textId="64B70E21" w:rsidR="440D62A7" w:rsidRDefault="440D62A7" w:rsidP="440D62A7">
            <w:pPr>
              <w:rPr>
                <w:rFonts w:ascii="Times New Roman" w:eastAsia="Times New Roman" w:hAnsi="Times New Roman" w:cs="Times New Roman"/>
                <w:sz w:val="24"/>
                <w:szCs w:val="24"/>
              </w:rPr>
            </w:pPr>
            <w:r w:rsidRPr="440D62A7">
              <w:rPr>
                <w:rFonts w:ascii="Times New Roman" w:eastAsia="Times New Roman" w:hAnsi="Times New Roman" w:cs="Times New Roman"/>
                <w:sz w:val="24"/>
                <w:szCs w:val="24"/>
              </w:rPr>
              <w:t xml:space="preserve">Durations </w:t>
            </w:r>
          </w:p>
          <w:p w14:paraId="542A828E" w14:textId="273B5DF3" w:rsidR="440D62A7" w:rsidRDefault="440D62A7" w:rsidP="440D62A7">
            <w:pPr>
              <w:rPr>
                <w:rFonts w:ascii="Times New Roman" w:eastAsia="Times New Roman" w:hAnsi="Times New Roman" w:cs="Times New Roman"/>
                <w:sz w:val="24"/>
                <w:szCs w:val="24"/>
              </w:rPr>
            </w:pPr>
            <w:r w:rsidRPr="440D62A7">
              <w:rPr>
                <w:rFonts w:ascii="Times New Roman" w:eastAsia="Times New Roman" w:hAnsi="Times New Roman" w:cs="Times New Roman"/>
                <w:sz w:val="24"/>
                <w:szCs w:val="24"/>
              </w:rPr>
              <w:t>Resource use</w:t>
            </w:r>
          </w:p>
        </w:tc>
        <w:tc>
          <w:tcPr>
            <w:tcW w:w="2265" w:type="dxa"/>
            <w:tcBorders>
              <w:top w:val="nil"/>
              <w:left w:val="nil"/>
              <w:bottom w:val="single" w:sz="8" w:space="0" w:color="auto"/>
              <w:right w:val="nil"/>
            </w:tcBorders>
            <w:tcMar>
              <w:left w:w="108" w:type="dxa"/>
              <w:right w:w="108" w:type="dxa"/>
            </w:tcMar>
          </w:tcPr>
          <w:p w14:paraId="427516FD" w14:textId="2AE98338" w:rsidR="440D62A7" w:rsidRDefault="440D62A7" w:rsidP="440D62A7">
            <w:pPr>
              <w:rPr>
                <w:rFonts w:ascii="Times New Roman" w:eastAsia="Times New Roman" w:hAnsi="Times New Roman" w:cs="Times New Roman"/>
                <w:sz w:val="24"/>
                <w:szCs w:val="24"/>
              </w:rPr>
            </w:pPr>
            <w:r w:rsidRPr="440D62A7">
              <w:rPr>
                <w:rFonts w:ascii="Times New Roman" w:eastAsia="Times New Roman" w:hAnsi="Times New Roman" w:cs="Times New Roman"/>
                <w:sz w:val="24"/>
                <w:szCs w:val="24"/>
              </w:rPr>
              <w:t xml:space="preserve"> </w:t>
            </w:r>
          </w:p>
          <w:p w14:paraId="29D7A915" w14:textId="2AC969B6" w:rsidR="440D62A7" w:rsidRDefault="440D62A7" w:rsidP="440D62A7">
            <w:pPr>
              <w:rPr>
                <w:rFonts w:ascii="Times New Roman" w:eastAsia="Times New Roman" w:hAnsi="Times New Roman" w:cs="Times New Roman"/>
                <w:sz w:val="24"/>
                <w:szCs w:val="24"/>
              </w:rPr>
            </w:pPr>
            <w:r w:rsidRPr="440D62A7">
              <w:rPr>
                <w:rFonts w:ascii="Times New Roman" w:eastAsia="Times New Roman" w:hAnsi="Times New Roman" w:cs="Times New Roman"/>
                <w:sz w:val="24"/>
                <w:szCs w:val="24"/>
              </w:rPr>
              <w:t>Gamma(α,β)</w:t>
            </w:r>
          </w:p>
          <w:p w14:paraId="6A72FB7D" w14:textId="07DD56E8" w:rsidR="440D62A7" w:rsidRDefault="440D62A7" w:rsidP="440D62A7">
            <w:pPr>
              <w:spacing w:line="257" w:lineRule="auto"/>
              <w:rPr>
                <w:rFonts w:ascii="Times New Roman" w:eastAsia="Times New Roman" w:hAnsi="Times New Roman" w:cs="Times New Roman"/>
                <w:sz w:val="24"/>
                <w:szCs w:val="24"/>
              </w:rPr>
            </w:pPr>
            <w:r>
              <w:rPr>
                <w:noProof/>
              </w:rPr>
              <w:drawing>
                <wp:inline distT="0" distB="0" distL="0" distR="0" wp14:anchorId="56198DD8" wp14:editId="4F10B204">
                  <wp:extent cx="676275" cy="180975"/>
                  <wp:effectExtent l="0" t="0" r="0" b="0"/>
                  <wp:docPr id="11808506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722992" name="Picture 1294722992"/>
                          <pic:cNvPicPr/>
                        </pic:nvPicPr>
                        <pic:blipFill>
                          <a:blip r:embed="rId34">
                            <a:extLst>
                              <a:ext uri="{28A0092B-C50C-407E-A947-70E740481C1C}">
                                <a14:useLocalDpi xmlns:a14="http://schemas.microsoft.com/office/drawing/2010/main"/>
                              </a:ext>
                            </a:extLst>
                          </a:blip>
                          <a:stretch>
                            <a:fillRect/>
                          </a:stretch>
                        </pic:blipFill>
                        <pic:spPr>
                          <a:xfrm>
                            <a:off x="0" y="0"/>
                            <a:ext cx="676275" cy="180975"/>
                          </a:xfrm>
                          <a:prstGeom prst="rect">
                            <a:avLst/>
                          </a:prstGeom>
                        </pic:spPr>
                      </pic:pic>
                    </a:graphicData>
                  </a:graphic>
                </wp:inline>
              </w:drawing>
            </w:r>
          </w:p>
          <w:p w14:paraId="7019437B" w14:textId="25C08ED2" w:rsidR="440D62A7" w:rsidRDefault="440D62A7" w:rsidP="440D62A7">
            <w:pPr>
              <w:spacing w:line="257" w:lineRule="auto"/>
              <w:rPr>
                <w:rFonts w:ascii="Times New Roman" w:eastAsia="Times New Roman" w:hAnsi="Times New Roman" w:cs="Times New Roman"/>
                <w:sz w:val="24"/>
                <w:szCs w:val="24"/>
              </w:rPr>
            </w:pPr>
            <w:r>
              <w:rPr>
                <w:noProof/>
              </w:rPr>
              <w:drawing>
                <wp:inline distT="0" distB="0" distL="0" distR="0" wp14:anchorId="6FC3339D" wp14:editId="2FFE23C3">
                  <wp:extent cx="581025" cy="180975"/>
                  <wp:effectExtent l="0" t="0" r="0" b="0"/>
                  <wp:docPr id="2146269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109899" name="Picture 855109899"/>
                          <pic:cNvPicPr/>
                        </pic:nvPicPr>
                        <pic:blipFill>
                          <a:blip r:embed="rId35">
                            <a:extLst>
                              <a:ext uri="{28A0092B-C50C-407E-A947-70E740481C1C}">
                                <a14:useLocalDpi xmlns:a14="http://schemas.microsoft.com/office/drawing/2010/main"/>
                              </a:ext>
                            </a:extLst>
                          </a:blip>
                          <a:stretch>
                            <a:fillRect/>
                          </a:stretch>
                        </pic:blipFill>
                        <pic:spPr>
                          <a:xfrm>
                            <a:off x="0" y="0"/>
                            <a:ext cx="581025" cy="180975"/>
                          </a:xfrm>
                          <a:prstGeom prst="rect">
                            <a:avLst/>
                          </a:prstGeom>
                        </pic:spPr>
                      </pic:pic>
                    </a:graphicData>
                  </a:graphic>
                </wp:inline>
              </w:drawing>
            </w:r>
          </w:p>
          <w:p w14:paraId="2EF25695" w14:textId="1FC2E579" w:rsidR="440D62A7" w:rsidRDefault="440D62A7" w:rsidP="440D62A7">
            <w:pPr>
              <w:rPr>
                <w:rFonts w:ascii="Times New Roman" w:eastAsia="Times New Roman" w:hAnsi="Times New Roman" w:cs="Times New Roman"/>
                <w:sz w:val="24"/>
                <w:szCs w:val="24"/>
              </w:rPr>
            </w:pPr>
            <w:r w:rsidRPr="440D62A7">
              <w:rPr>
                <w:rFonts w:ascii="Times New Roman" w:eastAsia="Times New Roman" w:hAnsi="Times New Roman" w:cs="Times New Roman"/>
                <w:sz w:val="24"/>
                <w:szCs w:val="24"/>
              </w:rPr>
              <w:t xml:space="preserve"> </w:t>
            </w:r>
          </w:p>
          <w:p w14:paraId="44121A2E" w14:textId="35E9F193" w:rsidR="440D62A7" w:rsidRDefault="440D62A7" w:rsidP="440D62A7">
            <w:pPr>
              <w:rPr>
                <w:rFonts w:ascii="Times New Roman" w:eastAsia="Times New Roman" w:hAnsi="Times New Roman" w:cs="Times New Roman"/>
                <w:sz w:val="24"/>
                <w:szCs w:val="24"/>
              </w:rPr>
            </w:pPr>
            <w:r w:rsidRPr="440D62A7">
              <w:rPr>
                <w:rFonts w:ascii="Times New Roman" w:eastAsia="Times New Roman" w:hAnsi="Times New Roman" w:cs="Times New Roman"/>
                <w:sz w:val="24"/>
                <w:szCs w:val="24"/>
              </w:rPr>
              <w:t>Where µ is the observed mean and s is the standard error of the mean</w:t>
            </w:r>
          </w:p>
        </w:tc>
      </w:tr>
    </w:tbl>
    <w:p w14:paraId="0BBFFE8E" w14:textId="2835D232" w:rsidR="440D62A7" w:rsidRDefault="440D62A7" w:rsidP="440D62A7">
      <w:pPr>
        <w:spacing w:before="240" w:after="240"/>
        <w:rPr>
          <w:rFonts w:ascii="Times New Roman" w:eastAsia="Times New Roman" w:hAnsi="Times New Roman" w:cs="Times New Roman"/>
          <w:b/>
          <w:bCs/>
          <w:sz w:val="24"/>
          <w:szCs w:val="24"/>
        </w:rPr>
      </w:pPr>
    </w:p>
    <w:p w14:paraId="5E904A0A" w14:textId="77777777" w:rsidR="00A91F04" w:rsidRDefault="00A91F04" w:rsidP="440D62A7">
      <w:pPr>
        <w:spacing w:before="240" w:after="240"/>
        <w:rPr>
          <w:rFonts w:ascii="Times New Roman" w:eastAsia="Times New Roman" w:hAnsi="Times New Roman" w:cs="Times New Roman"/>
          <w:b/>
          <w:bCs/>
          <w:sz w:val="24"/>
          <w:szCs w:val="24"/>
        </w:rPr>
      </w:pPr>
    </w:p>
    <w:p w14:paraId="018D84B7" w14:textId="11915AB3" w:rsidR="440D62A7" w:rsidRDefault="440D62A7" w:rsidP="440D62A7">
      <w:pPr>
        <w:spacing w:before="240" w:after="240"/>
        <w:rPr>
          <w:rFonts w:ascii="Times New Roman" w:eastAsia="Times New Roman" w:hAnsi="Times New Roman" w:cs="Times New Roman"/>
          <w:b/>
          <w:bCs/>
          <w:sz w:val="24"/>
          <w:szCs w:val="24"/>
        </w:rPr>
      </w:pPr>
    </w:p>
    <w:p w14:paraId="2806D690" w14:textId="4DC40925" w:rsidR="30D56DD0" w:rsidRDefault="30D56DD0" w:rsidP="30D56DD0">
      <w:pPr>
        <w:spacing w:before="240" w:after="240"/>
        <w:rPr>
          <w:rFonts w:ascii="Times New Roman" w:eastAsia="Times New Roman" w:hAnsi="Times New Roman" w:cs="Times New Roman"/>
          <w:b/>
          <w:bCs/>
          <w:sz w:val="24"/>
          <w:szCs w:val="24"/>
        </w:rPr>
      </w:pPr>
    </w:p>
    <w:p w14:paraId="3AFA98F0" w14:textId="1A68A81E" w:rsidR="30D56DD0" w:rsidRDefault="30D56DD0" w:rsidP="30D56DD0">
      <w:pPr>
        <w:spacing w:before="240" w:after="240"/>
        <w:rPr>
          <w:rFonts w:ascii="Times New Roman" w:eastAsia="Times New Roman" w:hAnsi="Times New Roman" w:cs="Times New Roman"/>
          <w:b/>
          <w:bCs/>
          <w:sz w:val="24"/>
          <w:szCs w:val="24"/>
        </w:rPr>
      </w:pPr>
    </w:p>
    <w:p w14:paraId="55B8557B" w14:textId="345A1CCD" w:rsidR="30D56DD0" w:rsidRDefault="30D56DD0" w:rsidP="30D56DD0">
      <w:pPr>
        <w:spacing w:before="240" w:after="240"/>
        <w:rPr>
          <w:rFonts w:ascii="Times New Roman" w:eastAsia="Times New Roman" w:hAnsi="Times New Roman" w:cs="Times New Roman"/>
          <w:b/>
          <w:bCs/>
          <w:sz w:val="24"/>
          <w:szCs w:val="24"/>
        </w:rPr>
      </w:pPr>
    </w:p>
    <w:p w14:paraId="2CA47F65" w14:textId="4DC8BFF5" w:rsidR="3253E29C" w:rsidRDefault="3A510701" w:rsidP="440D62A7">
      <w:pPr>
        <w:spacing w:before="240" w:after="240"/>
        <w:rPr>
          <w:rFonts w:ascii="Times New Roman" w:eastAsia="Times New Roman" w:hAnsi="Times New Roman" w:cs="Times New Roman"/>
          <w:b/>
          <w:bCs/>
          <w:sz w:val="24"/>
          <w:szCs w:val="24"/>
        </w:rPr>
      </w:pPr>
      <w:r w:rsidRPr="30D56DD0">
        <w:rPr>
          <w:rFonts w:ascii="Times New Roman" w:eastAsia="Times New Roman" w:hAnsi="Times New Roman" w:cs="Times New Roman"/>
          <w:b/>
          <w:bCs/>
          <w:sz w:val="24"/>
          <w:szCs w:val="24"/>
        </w:rPr>
        <w:lastRenderedPageBreak/>
        <w:t>Table</w:t>
      </w:r>
      <w:r w:rsidR="0B24C9B1" w:rsidRPr="30D56DD0">
        <w:rPr>
          <w:rFonts w:ascii="Times New Roman" w:eastAsia="Times New Roman" w:hAnsi="Times New Roman" w:cs="Times New Roman"/>
          <w:b/>
          <w:bCs/>
          <w:sz w:val="24"/>
          <w:szCs w:val="24"/>
        </w:rPr>
        <w:t xml:space="preserve"> </w:t>
      </w:r>
      <w:r w:rsidR="4E4C1595" w:rsidRPr="30D56DD0">
        <w:rPr>
          <w:rFonts w:ascii="Times New Roman" w:eastAsia="Times New Roman" w:hAnsi="Times New Roman" w:cs="Times New Roman"/>
          <w:b/>
          <w:bCs/>
          <w:sz w:val="24"/>
          <w:szCs w:val="24"/>
        </w:rPr>
        <w:t>C</w:t>
      </w:r>
      <w:r w:rsidR="59CACD57" w:rsidRPr="30D56DD0">
        <w:rPr>
          <w:rFonts w:ascii="Times New Roman" w:eastAsia="Times New Roman" w:hAnsi="Times New Roman" w:cs="Times New Roman"/>
          <w:b/>
          <w:bCs/>
          <w:sz w:val="24"/>
          <w:szCs w:val="24"/>
        </w:rPr>
        <w:t>5</w:t>
      </w:r>
      <w:r w:rsidR="1005D47E" w:rsidRPr="30D56DD0">
        <w:rPr>
          <w:rFonts w:ascii="Times New Roman" w:eastAsia="Times New Roman" w:hAnsi="Times New Roman" w:cs="Times New Roman"/>
          <w:b/>
          <w:bCs/>
          <w:sz w:val="24"/>
          <w:szCs w:val="24"/>
        </w:rPr>
        <w:t>. A</w:t>
      </w:r>
      <w:r w:rsidR="0B24C9B1" w:rsidRPr="30D56DD0">
        <w:rPr>
          <w:rFonts w:ascii="Times New Roman" w:eastAsia="Times New Roman" w:hAnsi="Times New Roman" w:cs="Times New Roman"/>
          <w:b/>
          <w:bCs/>
          <w:sz w:val="24"/>
          <w:szCs w:val="24"/>
        </w:rPr>
        <w:t>ssumption of SE as percentage of the mean and parameters modelled</w:t>
      </w:r>
    </w:p>
    <w:tbl>
      <w:tblPr>
        <w:tblStyle w:val="TableGrid"/>
        <w:tblW w:w="0" w:type="auto"/>
        <w:tblLook w:val="04A0" w:firstRow="1" w:lastRow="0" w:firstColumn="1" w:lastColumn="0" w:noHBand="0" w:noVBand="1"/>
      </w:tblPr>
      <w:tblGrid>
        <w:gridCol w:w="1222"/>
        <w:gridCol w:w="2546"/>
        <w:gridCol w:w="2373"/>
        <w:gridCol w:w="2931"/>
      </w:tblGrid>
      <w:tr w:rsidR="440D62A7" w14:paraId="40254595" w14:textId="77777777" w:rsidTr="30D56DD0">
        <w:trPr>
          <w:trHeight w:val="300"/>
        </w:trPr>
        <w:tc>
          <w:tcPr>
            <w:tcW w:w="1222" w:type="dxa"/>
            <w:tcBorders>
              <w:top w:val="single" w:sz="8" w:space="0" w:color="auto"/>
              <w:left w:val="nil"/>
              <w:bottom w:val="single" w:sz="12" w:space="0" w:color="000000" w:themeColor="text1"/>
              <w:right w:val="nil"/>
            </w:tcBorders>
            <w:tcMar>
              <w:left w:w="108" w:type="dxa"/>
              <w:right w:w="108" w:type="dxa"/>
            </w:tcMar>
          </w:tcPr>
          <w:p w14:paraId="3375E818" w14:textId="4E5934F4" w:rsidR="440D62A7" w:rsidRDefault="440D62A7" w:rsidP="440D62A7">
            <w:pPr>
              <w:rPr>
                <w:rFonts w:ascii="Times New Roman" w:eastAsia="Times New Roman" w:hAnsi="Times New Roman" w:cs="Times New Roman"/>
                <w:b/>
                <w:bCs/>
                <w:i/>
                <w:iCs/>
                <w:sz w:val="24"/>
                <w:szCs w:val="24"/>
              </w:rPr>
            </w:pPr>
            <w:r w:rsidRPr="440D62A7">
              <w:rPr>
                <w:rFonts w:ascii="Times New Roman" w:eastAsia="Times New Roman" w:hAnsi="Times New Roman" w:cs="Times New Roman"/>
                <w:b/>
                <w:bCs/>
                <w:i/>
                <w:iCs/>
                <w:sz w:val="24"/>
                <w:szCs w:val="24"/>
              </w:rPr>
              <w:t>Input</w:t>
            </w:r>
          </w:p>
        </w:tc>
        <w:tc>
          <w:tcPr>
            <w:tcW w:w="2546" w:type="dxa"/>
            <w:tcBorders>
              <w:top w:val="single" w:sz="8" w:space="0" w:color="auto"/>
              <w:left w:val="nil"/>
              <w:bottom w:val="single" w:sz="12" w:space="0" w:color="000000" w:themeColor="text1"/>
              <w:right w:val="nil"/>
            </w:tcBorders>
            <w:tcMar>
              <w:left w:w="108" w:type="dxa"/>
              <w:right w:w="108" w:type="dxa"/>
            </w:tcMar>
          </w:tcPr>
          <w:p w14:paraId="4F410C84" w14:textId="289AB950" w:rsidR="440D62A7" w:rsidRDefault="440D62A7" w:rsidP="440D62A7">
            <w:pPr>
              <w:rPr>
                <w:rFonts w:ascii="Times New Roman" w:eastAsia="Times New Roman" w:hAnsi="Times New Roman" w:cs="Times New Roman"/>
                <w:b/>
                <w:bCs/>
                <w:i/>
                <w:iCs/>
                <w:sz w:val="24"/>
                <w:szCs w:val="24"/>
              </w:rPr>
            </w:pPr>
            <w:r w:rsidRPr="440D62A7">
              <w:rPr>
                <w:rFonts w:ascii="Times New Roman" w:eastAsia="Times New Roman" w:hAnsi="Times New Roman" w:cs="Times New Roman"/>
                <w:b/>
                <w:bCs/>
                <w:i/>
                <w:iCs/>
                <w:sz w:val="24"/>
                <w:szCs w:val="24"/>
              </w:rPr>
              <w:t>SE assumption</w:t>
            </w:r>
          </w:p>
        </w:tc>
        <w:tc>
          <w:tcPr>
            <w:tcW w:w="2373" w:type="dxa"/>
            <w:tcBorders>
              <w:top w:val="single" w:sz="8" w:space="0" w:color="auto"/>
              <w:left w:val="nil"/>
              <w:bottom w:val="single" w:sz="12" w:space="0" w:color="000000" w:themeColor="text1"/>
              <w:right w:val="nil"/>
            </w:tcBorders>
            <w:tcMar>
              <w:left w:w="108" w:type="dxa"/>
              <w:right w:w="108" w:type="dxa"/>
            </w:tcMar>
          </w:tcPr>
          <w:p w14:paraId="0DC389F0" w14:textId="49F0D88A" w:rsidR="440D62A7" w:rsidRDefault="440D62A7" w:rsidP="440D62A7">
            <w:pPr>
              <w:rPr>
                <w:rFonts w:ascii="Times New Roman" w:eastAsia="Times New Roman" w:hAnsi="Times New Roman" w:cs="Times New Roman"/>
                <w:b/>
                <w:bCs/>
                <w:i/>
                <w:iCs/>
                <w:sz w:val="24"/>
                <w:szCs w:val="24"/>
              </w:rPr>
            </w:pPr>
            <w:r w:rsidRPr="440D62A7">
              <w:rPr>
                <w:rFonts w:ascii="Times New Roman" w:eastAsia="Times New Roman" w:hAnsi="Times New Roman" w:cs="Times New Roman"/>
                <w:b/>
                <w:bCs/>
                <w:i/>
                <w:iCs/>
                <w:sz w:val="24"/>
                <w:szCs w:val="24"/>
              </w:rPr>
              <w:t>Parameter modelled</w:t>
            </w:r>
          </w:p>
        </w:tc>
        <w:tc>
          <w:tcPr>
            <w:tcW w:w="2931" w:type="dxa"/>
            <w:tcBorders>
              <w:top w:val="single" w:sz="8" w:space="0" w:color="auto"/>
              <w:left w:val="nil"/>
              <w:bottom w:val="single" w:sz="12" w:space="0" w:color="000000" w:themeColor="text1"/>
              <w:right w:val="nil"/>
            </w:tcBorders>
            <w:tcMar>
              <w:left w:w="108" w:type="dxa"/>
              <w:right w:w="108" w:type="dxa"/>
            </w:tcMar>
          </w:tcPr>
          <w:p w14:paraId="67416D8D" w14:textId="03755C9F" w:rsidR="440D62A7" w:rsidRDefault="440D62A7" w:rsidP="440D62A7">
            <w:pPr>
              <w:rPr>
                <w:rFonts w:ascii="Times New Roman" w:eastAsia="Times New Roman" w:hAnsi="Times New Roman" w:cs="Times New Roman"/>
                <w:b/>
                <w:bCs/>
                <w:i/>
                <w:iCs/>
                <w:sz w:val="24"/>
                <w:szCs w:val="24"/>
              </w:rPr>
            </w:pPr>
            <w:r w:rsidRPr="440D62A7">
              <w:rPr>
                <w:rFonts w:ascii="Times New Roman" w:eastAsia="Times New Roman" w:hAnsi="Times New Roman" w:cs="Times New Roman"/>
                <w:b/>
                <w:bCs/>
                <w:i/>
                <w:iCs/>
                <w:sz w:val="24"/>
                <w:szCs w:val="24"/>
              </w:rPr>
              <w:t>Comment</w:t>
            </w:r>
          </w:p>
        </w:tc>
      </w:tr>
      <w:tr w:rsidR="440D62A7" w14:paraId="1EA8D83B" w14:textId="77777777" w:rsidTr="30D56DD0">
        <w:trPr>
          <w:trHeight w:val="300"/>
        </w:trPr>
        <w:tc>
          <w:tcPr>
            <w:tcW w:w="1222" w:type="dxa"/>
            <w:tcBorders>
              <w:top w:val="single" w:sz="12"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4A7763D0" w14:textId="6C34ECE1" w:rsidR="440D62A7" w:rsidRDefault="440D62A7" w:rsidP="440D62A7">
            <w:pPr>
              <w:rPr>
                <w:rFonts w:ascii="Times New Roman" w:eastAsia="Times New Roman" w:hAnsi="Times New Roman" w:cs="Times New Roman"/>
                <w:b/>
                <w:bCs/>
                <w:i/>
                <w:iCs/>
                <w:sz w:val="24"/>
                <w:szCs w:val="24"/>
              </w:rPr>
            </w:pPr>
            <w:r w:rsidRPr="440D62A7">
              <w:rPr>
                <w:rFonts w:ascii="Times New Roman" w:eastAsia="Times New Roman" w:hAnsi="Times New Roman" w:cs="Times New Roman"/>
                <w:b/>
                <w:bCs/>
                <w:i/>
                <w:iCs/>
                <w:sz w:val="24"/>
                <w:szCs w:val="24"/>
              </w:rPr>
              <w:t>Clinical</w:t>
            </w:r>
          </w:p>
        </w:tc>
        <w:tc>
          <w:tcPr>
            <w:tcW w:w="2546" w:type="dxa"/>
            <w:tcBorders>
              <w:top w:val="single" w:sz="12"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1778352B" w14:textId="2C00D5AF"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5% of the mean</w:t>
            </w:r>
          </w:p>
        </w:tc>
        <w:tc>
          <w:tcPr>
            <w:tcW w:w="2373" w:type="dxa"/>
            <w:tcBorders>
              <w:top w:val="single" w:sz="12"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085D7A14" w14:textId="30B0F0E8"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Patient characteristics</w:t>
            </w:r>
          </w:p>
          <w:p w14:paraId="03C1961F" w14:textId="600BD785"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4EEDB2CB" w14:textId="7AA30587"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Preparation time pharmacist</w:t>
            </w:r>
          </w:p>
        </w:tc>
        <w:tc>
          <w:tcPr>
            <w:tcW w:w="2931" w:type="dxa"/>
            <w:tcBorders>
              <w:top w:val="single" w:sz="12"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48E8F35D" w14:textId="5A69DF76"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Quite homogeneous population</w:t>
            </w:r>
          </w:p>
          <w:p w14:paraId="42F88E20" w14:textId="0E1AD142"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021DFABE" w14:textId="408F473D"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Based on routine practice</w:t>
            </w:r>
          </w:p>
        </w:tc>
      </w:tr>
      <w:tr w:rsidR="440D62A7" w14:paraId="5E22E7A7" w14:textId="77777777" w:rsidTr="30D56DD0">
        <w:trPr>
          <w:trHeight w:val="300"/>
        </w:trPr>
        <w:tc>
          <w:tcPr>
            <w:tcW w:w="1222"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1D6F16B5" w14:textId="3E5DB847"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tc>
        <w:tc>
          <w:tcPr>
            <w:tcW w:w="2546"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0CAB1DF7" w14:textId="0F66650A"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10% of the mean</w:t>
            </w:r>
          </w:p>
        </w:tc>
        <w:tc>
          <w:tcPr>
            <w:tcW w:w="2373"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4075037E" w14:textId="3BF9A354"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Duration adverse events</w:t>
            </w:r>
          </w:p>
        </w:tc>
        <w:tc>
          <w:tcPr>
            <w:tcW w:w="2931"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34B1AC1D" w14:textId="754D96B2"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Individual dependent</w:t>
            </w:r>
          </w:p>
        </w:tc>
      </w:tr>
      <w:tr w:rsidR="440D62A7" w14:paraId="05168038" w14:textId="77777777" w:rsidTr="30D56DD0">
        <w:trPr>
          <w:trHeight w:val="300"/>
        </w:trPr>
        <w:tc>
          <w:tcPr>
            <w:tcW w:w="1222"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14FC6ED5" w14:textId="06F35305" w:rsidR="440D62A7" w:rsidRDefault="440D62A7" w:rsidP="440D62A7">
            <w:pPr>
              <w:rPr>
                <w:rFonts w:ascii="Times New Roman" w:eastAsia="Times New Roman" w:hAnsi="Times New Roman" w:cs="Times New Roman"/>
                <w:b/>
                <w:bCs/>
                <w:i/>
                <w:iCs/>
                <w:sz w:val="24"/>
                <w:szCs w:val="24"/>
              </w:rPr>
            </w:pPr>
            <w:r w:rsidRPr="440D62A7">
              <w:rPr>
                <w:rFonts w:ascii="Times New Roman" w:eastAsia="Times New Roman" w:hAnsi="Times New Roman" w:cs="Times New Roman"/>
                <w:b/>
                <w:bCs/>
                <w:i/>
                <w:iCs/>
                <w:sz w:val="24"/>
                <w:szCs w:val="24"/>
              </w:rPr>
              <w:t>Cost</w:t>
            </w:r>
          </w:p>
        </w:tc>
        <w:tc>
          <w:tcPr>
            <w:tcW w:w="2546"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77D20DBC" w14:textId="754DE350"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10% of the mean</w:t>
            </w:r>
          </w:p>
        </w:tc>
        <w:tc>
          <w:tcPr>
            <w:tcW w:w="2373"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72308136" w14:textId="40F9058A"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Unit cost prophylaxis</w:t>
            </w:r>
          </w:p>
          <w:p w14:paraId="376EED61" w14:textId="0266AD9D"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2A00F9D3" w14:textId="0360E96F"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Pharmacist hourly cost</w:t>
            </w:r>
          </w:p>
          <w:p w14:paraId="4C46BAE7" w14:textId="37CCAC7F"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592A6ABB" w14:textId="3D290DAC"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79DD2701" w14:textId="177570D9"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Post-second-line chemotherapy cost</w:t>
            </w:r>
          </w:p>
        </w:tc>
        <w:tc>
          <w:tcPr>
            <w:tcW w:w="2931"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0EC54026" w14:textId="77E8F643"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Simple unit cost</w:t>
            </w:r>
          </w:p>
          <w:p w14:paraId="6ED42134" w14:textId="752E2CBA"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6DEAC48F" w14:textId="56C7B36B"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Cost estimation by PSSRU, based on economic theory</w:t>
            </w:r>
          </w:p>
          <w:p w14:paraId="357C6675" w14:textId="5D060633"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76F6546D" w14:textId="09875259"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Simple unit cost</w:t>
            </w:r>
          </w:p>
        </w:tc>
      </w:tr>
      <w:tr w:rsidR="440D62A7" w14:paraId="77F81181" w14:textId="77777777" w:rsidTr="30D56DD0">
        <w:trPr>
          <w:trHeight w:val="567"/>
        </w:trPr>
        <w:tc>
          <w:tcPr>
            <w:tcW w:w="1222" w:type="dxa"/>
            <w:tcBorders>
              <w:top w:val="none" w:sz="4" w:space="0" w:color="000000" w:themeColor="text1"/>
              <w:left w:val="none" w:sz="4" w:space="0" w:color="000000" w:themeColor="text1"/>
              <w:bottom w:val="single" w:sz="12" w:space="0" w:color="000000" w:themeColor="text1"/>
              <w:right w:val="none" w:sz="4" w:space="0" w:color="000000" w:themeColor="text1"/>
            </w:tcBorders>
            <w:tcMar>
              <w:left w:w="108" w:type="dxa"/>
              <w:right w:w="108" w:type="dxa"/>
            </w:tcMar>
          </w:tcPr>
          <w:p w14:paraId="52805509" w14:textId="377C7C86"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tc>
        <w:tc>
          <w:tcPr>
            <w:tcW w:w="2546" w:type="dxa"/>
            <w:tcBorders>
              <w:top w:val="none" w:sz="4" w:space="0" w:color="000000" w:themeColor="text1"/>
              <w:left w:val="none" w:sz="4" w:space="0" w:color="000000" w:themeColor="text1"/>
              <w:bottom w:val="single" w:sz="12" w:space="0" w:color="000000" w:themeColor="text1"/>
              <w:right w:val="none" w:sz="4" w:space="0" w:color="000000" w:themeColor="text1"/>
            </w:tcBorders>
            <w:tcMar>
              <w:left w:w="108" w:type="dxa"/>
              <w:right w:w="108" w:type="dxa"/>
            </w:tcMar>
          </w:tcPr>
          <w:p w14:paraId="7EC5D595" w14:textId="693EE339"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20% of the mean</w:t>
            </w:r>
          </w:p>
        </w:tc>
        <w:tc>
          <w:tcPr>
            <w:tcW w:w="2373" w:type="dxa"/>
            <w:tcBorders>
              <w:top w:val="none" w:sz="4" w:space="0" w:color="000000" w:themeColor="text1"/>
              <w:left w:val="none" w:sz="4" w:space="0" w:color="000000" w:themeColor="text1"/>
              <w:bottom w:val="single" w:sz="12" w:space="0" w:color="000000" w:themeColor="text1"/>
              <w:right w:val="none" w:sz="4" w:space="0" w:color="000000" w:themeColor="text1"/>
            </w:tcBorders>
            <w:tcMar>
              <w:left w:w="108" w:type="dxa"/>
              <w:right w:w="108" w:type="dxa"/>
            </w:tcMar>
          </w:tcPr>
          <w:p w14:paraId="71C7F65C" w14:textId="6F25B94F"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Unit cost adverse events</w:t>
            </w:r>
          </w:p>
          <w:p w14:paraId="64F72A36" w14:textId="0B3E8A09"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2B7B4B78" w14:textId="76017235"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40D12DE4" w14:textId="1E1299F9"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44E6D90F" w14:textId="3EA57652"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Concomitant medication cost (LHRH)</w:t>
            </w:r>
          </w:p>
          <w:p w14:paraId="06958304" w14:textId="3D21D11A"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34EA9AED" w14:textId="74E1A2F3"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Chemotherapy administration cost</w:t>
            </w:r>
          </w:p>
          <w:p w14:paraId="4A5F7505" w14:textId="3081E4BE"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7F676779" w14:textId="1DEC72AC"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2282451A" w14:textId="61AB9AD5"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523EFC58" w14:textId="1E3C84E7"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32642EF5" w14:textId="5EDF3B52"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493CD207" w14:textId="020A0336"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6D90BA3D" w14:textId="20DA8A13"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183EA0F7" w14:textId="206571DF"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Healthcare resource cost</w:t>
            </w:r>
          </w:p>
          <w:p w14:paraId="4F30C2A8" w14:textId="6F40F198"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7DDD8E14" w14:textId="7890DD54"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Best supportive care cost</w:t>
            </w:r>
          </w:p>
          <w:p w14:paraId="68AA7637" w14:textId="0AF48F70"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7592A8B3" w14:textId="145BE198"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End of life costs</w:t>
            </w:r>
          </w:p>
        </w:tc>
        <w:tc>
          <w:tcPr>
            <w:tcW w:w="2931" w:type="dxa"/>
            <w:tcBorders>
              <w:top w:val="none" w:sz="4" w:space="0" w:color="000000" w:themeColor="text1"/>
              <w:left w:val="none" w:sz="4" w:space="0" w:color="000000" w:themeColor="text1"/>
              <w:bottom w:val="single" w:sz="12" w:space="0" w:color="000000" w:themeColor="text1"/>
              <w:right w:val="none" w:sz="4" w:space="0" w:color="000000" w:themeColor="text1"/>
            </w:tcBorders>
            <w:tcMar>
              <w:left w:w="108" w:type="dxa"/>
              <w:right w:w="108" w:type="dxa"/>
            </w:tcMar>
          </w:tcPr>
          <w:p w14:paraId="1EEE4D27" w14:textId="4B9179EE"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Aggregated cost &amp; assuming same cost for different adverse events</w:t>
            </w:r>
          </w:p>
          <w:p w14:paraId="7C2857D0" w14:textId="7481E22A"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6303315E" w14:textId="48772DF2"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Cost is weighted average: 50% </w:t>
            </w:r>
            <w:proofErr w:type="spellStart"/>
            <w:r w:rsidRPr="440D62A7">
              <w:rPr>
                <w:rFonts w:ascii="Times New Roman" w:eastAsia="Times New Roman" w:hAnsi="Times New Roman" w:cs="Times New Roman"/>
                <w:i/>
                <w:iCs/>
                <w:sz w:val="24"/>
                <w:szCs w:val="24"/>
              </w:rPr>
              <w:t>leuroprorelin</w:t>
            </w:r>
            <w:proofErr w:type="spellEnd"/>
            <w:r w:rsidRPr="440D62A7">
              <w:rPr>
                <w:rFonts w:ascii="Times New Roman" w:eastAsia="Times New Roman" w:hAnsi="Times New Roman" w:cs="Times New Roman"/>
                <w:i/>
                <w:iCs/>
                <w:sz w:val="24"/>
                <w:szCs w:val="24"/>
              </w:rPr>
              <w:t xml:space="preserve"> and 50% goserelin</w:t>
            </w:r>
          </w:p>
          <w:p w14:paraId="32EDCAFC" w14:textId="16869E79"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04CA4C6F" w14:textId="60EC2388"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Assumption that patients have had chemotherapy previously, which might not always be the case. There is also an absence of data regarding the specific setting of chemotherapy delivery. Therefore we use an aggregated cost</w:t>
            </w:r>
          </w:p>
          <w:p w14:paraId="588871B1" w14:textId="278BC1D4"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27364B38" w14:textId="7451E6CE"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Aggregated cost from National Cost Collection</w:t>
            </w:r>
          </w:p>
          <w:p w14:paraId="6B002567" w14:textId="18F9D676"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3540DD02" w14:textId="508E17F8"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Aggregated cost consisting of different treatments</w:t>
            </w:r>
          </w:p>
          <w:p w14:paraId="193D91FA" w14:textId="1429B1A0"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 </w:t>
            </w:r>
          </w:p>
          <w:p w14:paraId="363DAFDC" w14:textId="3F22FE76" w:rsidR="440D62A7" w:rsidRDefault="440D62A7" w:rsidP="440D62A7">
            <w:pPr>
              <w:rPr>
                <w:rFonts w:ascii="Times New Roman" w:eastAsia="Times New Roman" w:hAnsi="Times New Roman" w:cs="Times New Roman"/>
                <w:i/>
                <w:iCs/>
                <w:sz w:val="24"/>
                <w:szCs w:val="24"/>
              </w:rPr>
            </w:pPr>
            <w:r w:rsidRPr="440D62A7">
              <w:rPr>
                <w:rFonts w:ascii="Times New Roman" w:eastAsia="Times New Roman" w:hAnsi="Times New Roman" w:cs="Times New Roman"/>
                <w:i/>
                <w:iCs/>
                <w:sz w:val="24"/>
                <w:szCs w:val="24"/>
              </w:rPr>
              <w:t xml:space="preserve">Aggregate of percentage patients in hospital, hospice or at home, of length of stay, of medications given, etc.. Assumption that 30 days of palliative care is the average value for those above 19 years, which </w:t>
            </w:r>
            <w:r w:rsidRPr="440D62A7">
              <w:rPr>
                <w:rFonts w:ascii="Times New Roman" w:eastAsia="Times New Roman" w:hAnsi="Times New Roman" w:cs="Times New Roman"/>
                <w:i/>
                <w:iCs/>
                <w:sz w:val="24"/>
                <w:szCs w:val="24"/>
              </w:rPr>
              <w:lastRenderedPageBreak/>
              <w:t>might not always be representative</w:t>
            </w:r>
          </w:p>
        </w:tc>
      </w:tr>
    </w:tbl>
    <w:p w14:paraId="718355E2" w14:textId="49E3286C" w:rsidR="30D56DD0" w:rsidRDefault="30D56DD0" w:rsidP="30D56DD0">
      <w:pPr>
        <w:spacing w:before="240" w:after="240"/>
        <w:rPr>
          <w:rFonts w:ascii="Times New Roman" w:eastAsia="Times New Roman" w:hAnsi="Times New Roman" w:cs="Times New Roman"/>
          <w:b/>
          <w:bCs/>
          <w:sz w:val="24"/>
          <w:szCs w:val="24"/>
        </w:rPr>
      </w:pPr>
    </w:p>
    <w:p w14:paraId="48D562D3" w14:textId="4AD72743" w:rsidR="08980425" w:rsidRDefault="3A510701" w:rsidP="440D62A7">
      <w:pPr>
        <w:spacing w:before="240" w:after="240"/>
        <w:rPr>
          <w:rFonts w:ascii="Times New Roman" w:eastAsia="Times New Roman" w:hAnsi="Times New Roman" w:cs="Times New Roman"/>
          <w:b/>
          <w:bCs/>
          <w:sz w:val="24"/>
          <w:szCs w:val="24"/>
        </w:rPr>
      </w:pPr>
      <w:r w:rsidRPr="30D56DD0">
        <w:rPr>
          <w:rFonts w:ascii="Times New Roman" w:eastAsia="Times New Roman" w:hAnsi="Times New Roman" w:cs="Times New Roman"/>
          <w:b/>
          <w:bCs/>
          <w:sz w:val="24"/>
          <w:szCs w:val="24"/>
        </w:rPr>
        <w:t>Table</w:t>
      </w:r>
      <w:r w:rsidR="2935DC60" w:rsidRPr="30D56DD0">
        <w:rPr>
          <w:rFonts w:ascii="Times New Roman" w:eastAsia="Times New Roman" w:hAnsi="Times New Roman" w:cs="Times New Roman"/>
          <w:b/>
          <w:bCs/>
          <w:sz w:val="24"/>
          <w:szCs w:val="24"/>
        </w:rPr>
        <w:t xml:space="preserve"> </w:t>
      </w:r>
      <w:r w:rsidR="6B9B1E6E" w:rsidRPr="30D56DD0">
        <w:rPr>
          <w:rFonts w:ascii="Times New Roman" w:eastAsia="Times New Roman" w:hAnsi="Times New Roman" w:cs="Times New Roman"/>
          <w:b/>
          <w:bCs/>
          <w:sz w:val="24"/>
          <w:szCs w:val="24"/>
        </w:rPr>
        <w:t>C</w:t>
      </w:r>
      <w:r w:rsidR="0D6A7A44" w:rsidRPr="30D56DD0">
        <w:rPr>
          <w:rFonts w:ascii="Times New Roman" w:eastAsia="Times New Roman" w:hAnsi="Times New Roman" w:cs="Times New Roman"/>
          <w:b/>
          <w:bCs/>
          <w:sz w:val="24"/>
          <w:szCs w:val="24"/>
        </w:rPr>
        <w:t>6</w:t>
      </w:r>
      <w:r w:rsidR="3656FA7C" w:rsidRPr="30D56DD0">
        <w:rPr>
          <w:rFonts w:ascii="Times New Roman" w:eastAsia="Times New Roman" w:hAnsi="Times New Roman" w:cs="Times New Roman"/>
          <w:b/>
          <w:bCs/>
          <w:sz w:val="24"/>
          <w:szCs w:val="24"/>
        </w:rPr>
        <w:t>. P</w:t>
      </w:r>
      <w:r w:rsidR="2935DC60" w:rsidRPr="30D56DD0">
        <w:rPr>
          <w:rFonts w:ascii="Times New Roman" w:eastAsia="Times New Roman" w:hAnsi="Times New Roman" w:cs="Times New Roman"/>
          <w:b/>
          <w:bCs/>
          <w:sz w:val="24"/>
          <w:szCs w:val="24"/>
        </w:rPr>
        <w:t>arameter distributions and the formulae used to calculate the mean and standard error</w:t>
      </w:r>
    </w:p>
    <w:tbl>
      <w:tblPr>
        <w:tblStyle w:val="TableGrid"/>
        <w:tblW w:w="0" w:type="auto"/>
        <w:tblLook w:val="04A0" w:firstRow="1" w:lastRow="0" w:firstColumn="1" w:lastColumn="0" w:noHBand="0" w:noVBand="1"/>
      </w:tblPr>
      <w:tblGrid>
        <w:gridCol w:w="1695"/>
        <w:gridCol w:w="4335"/>
        <w:gridCol w:w="3015"/>
      </w:tblGrid>
      <w:tr w:rsidR="440D62A7" w14:paraId="6944CB17" w14:textId="77777777" w:rsidTr="30D56DD0">
        <w:trPr>
          <w:trHeight w:val="300"/>
        </w:trPr>
        <w:tc>
          <w:tcPr>
            <w:tcW w:w="1695" w:type="dxa"/>
            <w:tcBorders>
              <w:top w:val="single" w:sz="8" w:space="0" w:color="auto"/>
              <w:left w:val="nil"/>
              <w:bottom w:val="single" w:sz="8" w:space="0" w:color="auto"/>
              <w:right w:val="nil"/>
            </w:tcBorders>
            <w:tcMar>
              <w:left w:w="108" w:type="dxa"/>
              <w:right w:w="108" w:type="dxa"/>
            </w:tcMar>
          </w:tcPr>
          <w:p w14:paraId="1FF21F4D" w14:textId="42C10A6B" w:rsidR="440D62A7" w:rsidRDefault="440D62A7" w:rsidP="440D62A7">
            <w:pPr>
              <w:rPr>
                <w:rFonts w:ascii="Times New Roman" w:eastAsia="Times New Roman" w:hAnsi="Times New Roman" w:cs="Times New Roman"/>
                <w:b/>
                <w:bCs/>
                <w:sz w:val="24"/>
                <w:szCs w:val="24"/>
              </w:rPr>
            </w:pPr>
            <w:r w:rsidRPr="440D62A7">
              <w:rPr>
                <w:rFonts w:ascii="Times New Roman" w:eastAsia="Times New Roman" w:hAnsi="Times New Roman" w:cs="Times New Roman"/>
                <w:b/>
                <w:bCs/>
                <w:sz w:val="24"/>
                <w:szCs w:val="24"/>
              </w:rPr>
              <w:t>Distribution</w:t>
            </w:r>
          </w:p>
        </w:tc>
        <w:tc>
          <w:tcPr>
            <w:tcW w:w="4335" w:type="dxa"/>
            <w:tcBorders>
              <w:top w:val="single" w:sz="8" w:space="0" w:color="auto"/>
              <w:left w:val="nil"/>
              <w:bottom w:val="single" w:sz="8" w:space="0" w:color="auto"/>
              <w:right w:val="nil"/>
            </w:tcBorders>
            <w:tcMar>
              <w:left w:w="108" w:type="dxa"/>
              <w:right w:w="108" w:type="dxa"/>
            </w:tcMar>
          </w:tcPr>
          <w:p w14:paraId="0C0DC27B" w14:textId="3E9155CA" w:rsidR="440D62A7" w:rsidRDefault="440D62A7" w:rsidP="440D62A7">
            <w:pPr>
              <w:jc w:val="center"/>
              <w:rPr>
                <w:rFonts w:ascii="Times New Roman" w:eastAsia="Times New Roman" w:hAnsi="Times New Roman" w:cs="Times New Roman"/>
                <w:b/>
                <w:bCs/>
                <w:sz w:val="24"/>
                <w:szCs w:val="24"/>
              </w:rPr>
            </w:pPr>
            <w:r w:rsidRPr="440D62A7">
              <w:rPr>
                <w:rFonts w:ascii="Times New Roman" w:eastAsia="Times New Roman" w:hAnsi="Times New Roman" w:cs="Times New Roman"/>
                <w:b/>
                <w:bCs/>
                <w:sz w:val="24"/>
                <w:szCs w:val="24"/>
              </w:rPr>
              <w:t>Method-of-moments formulae</w:t>
            </w:r>
          </w:p>
        </w:tc>
        <w:tc>
          <w:tcPr>
            <w:tcW w:w="3015" w:type="dxa"/>
            <w:tcBorders>
              <w:top w:val="single" w:sz="8" w:space="0" w:color="auto"/>
              <w:left w:val="nil"/>
              <w:bottom w:val="single" w:sz="8" w:space="0" w:color="auto"/>
              <w:right w:val="nil"/>
            </w:tcBorders>
            <w:tcMar>
              <w:left w:w="108" w:type="dxa"/>
              <w:right w:w="108" w:type="dxa"/>
            </w:tcMar>
          </w:tcPr>
          <w:p w14:paraId="35BCEEE6" w14:textId="25C60193" w:rsidR="440D62A7" w:rsidRDefault="440D62A7" w:rsidP="440D62A7">
            <w:pPr>
              <w:rPr>
                <w:rFonts w:ascii="Times New Roman" w:eastAsia="Times New Roman" w:hAnsi="Times New Roman" w:cs="Times New Roman"/>
                <w:b/>
                <w:bCs/>
                <w:sz w:val="24"/>
                <w:szCs w:val="24"/>
              </w:rPr>
            </w:pPr>
            <w:r w:rsidRPr="440D62A7">
              <w:rPr>
                <w:rFonts w:ascii="Times New Roman" w:eastAsia="Times New Roman" w:hAnsi="Times New Roman" w:cs="Times New Roman"/>
                <w:b/>
                <w:bCs/>
                <w:sz w:val="24"/>
                <w:szCs w:val="24"/>
              </w:rPr>
              <w:t>Excel function</w:t>
            </w:r>
          </w:p>
        </w:tc>
      </w:tr>
      <w:tr w:rsidR="440D62A7" w14:paraId="6E516184" w14:textId="77777777" w:rsidTr="30D56DD0">
        <w:trPr>
          <w:trHeight w:val="300"/>
        </w:trPr>
        <w:tc>
          <w:tcPr>
            <w:tcW w:w="1695" w:type="dxa"/>
            <w:tcBorders>
              <w:top w:val="single" w:sz="8" w:space="0" w:color="auto"/>
              <w:left w:val="nil"/>
              <w:bottom w:val="nil"/>
              <w:right w:val="nil"/>
            </w:tcBorders>
            <w:tcMar>
              <w:left w:w="108" w:type="dxa"/>
              <w:right w:w="108" w:type="dxa"/>
            </w:tcMar>
          </w:tcPr>
          <w:p w14:paraId="5F1A38B4" w14:textId="75A555BD" w:rsidR="440D62A7" w:rsidRDefault="440D62A7" w:rsidP="440D62A7">
            <w:pPr>
              <w:rPr>
                <w:rFonts w:ascii="Times New Roman" w:eastAsia="Times New Roman" w:hAnsi="Times New Roman" w:cs="Times New Roman"/>
                <w:b/>
                <w:bCs/>
                <w:sz w:val="24"/>
                <w:szCs w:val="24"/>
              </w:rPr>
            </w:pPr>
            <w:r w:rsidRPr="440D62A7">
              <w:rPr>
                <w:rFonts w:ascii="Times New Roman" w:eastAsia="Times New Roman" w:hAnsi="Times New Roman" w:cs="Times New Roman"/>
                <w:b/>
                <w:bCs/>
                <w:sz w:val="24"/>
                <w:szCs w:val="24"/>
              </w:rPr>
              <w:t>Beta</w:t>
            </w:r>
          </w:p>
        </w:tc>
        <w:tc>
          <w:tcPr>
            <w:tcW w:w="4335" w:type="dxa"/>
            <w:tcBorders>
              <w:top w:val="single" w:sz="8" w:space="0" w:color="auto"/>
              <w:left w:val="nil"/>
              <w:bottom w:val="nil"/>
              <w:right w:val="nil"/>
            </w:tcBorders>
            <w:tcMar>
              <w:left w:w="108" w:type="dxa"/>
              <w:right w:w="108" w:type="dxa"/>
            </w:tcMar>
          </w:tcPr>
          <w:p w14:paraId="2136E19F" w14:textId="73295462" w:rsidR="440D62A7" w:rsidRDefault="440D62A7" w:rsidP="440D62A7">
            <w:pPr>
              <w:spacing w:line="257" w:lineRule="auto"/>
              <w:jc w:val="center"/>
              <w:rPr>
                <w:rFonts w:ascii="Times New Roman" w:eastAsia="Times New Roman" w:hAnsi="Times New Roman" w:cs="Times New Roman"/>
                <w:sz w:val="24"/>
                <w:szCs w:val="24"/>
              </w:rPr>
            </w:pPr>
            <w:r>
              <w:rPr>
                <w:noProof/>
              </w:rPr>
              <w:drawing>
                <wp:inline distT="0" distB="0" distL="0" distR="0" wp14:anchorId="3D35DAEC" wp14:editId="6A142C3B">
                  <wp:extent cx="85725" cy="180975"/>
                  <wp:effectExtent l="0" t="0" r="0" b="0"/>
                  <wp:docPr id="367614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38261" name="Picture 1963838261"/>
                          <pic:cNvPicPr/>
                        </pic:nvPicPr>
                        <pic:blipFill>
                          <a:blip r:embed="rId36">
                            <a:extLst>
                              <a:ext uri="{28A0092B-C50C-407E-A947-70E740481C1C}">
                                <a14:useLocalDpi xmlns:a14="http://schemas.microsoft.com/office/drawing/2010/main"/>
                              </a:ext>
                            </a:extLst>
                          </a:blip>
                          <a:stretch>
                            <a:fillRect/>
                          </a:stretch>
                        </pic:blipFill>
                        <pic:spPr>
                          <a:xfrm>
                            <a:off x="0" y="0"/>
                            <a:ext cx="85725" cy="180975"/>
                          </a:xfrm>
                          <a:prstGeom prst="rect">
                            <a:avLst/>
                          </a:prstGeom>
                        </pic:spPr>
                      </pic:pic>
                    </a:graphicData>
                  </a:graphic>
                </wp:inline>
              </w:drawing>
            </w:r>
            <w:r w:rsidRPr="440D62A7">
              <w:rPr>
                <w:rFonts w:ascii="Times New Roman" w:eastAsia="Times New Roman" w:hAnsi="Times New Roman" w:cs="Times New Roman"/>
                <w:sz w:val="24"/>
                <w:szCs w:val="24"/>
              </w:rPr>
              <w:t xml:space="preserve">= </w:t>
            </w:r>
            <w:r>
              <w:rPr>
                <w:noProof/>
              </w:rPr>
              <w:drawing>
                <wp:inline distT="0" distB="0" distL="0" distR="0" wp14:anchorId="4AB4E28B" wp14:editId="4D808DB6">
                  <wp:extent cx="219075" cy="257175"/>
                  <wp:effectExtent l="0" t="0" r="0" b="0"/>
                  <wp:docPr id="284218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457693" name="Picture 1772457693"/>
                          <pic:cNvPicPr/>
                        </pic:nvPicPr>
                        <pic:blipFill>
                          <a:blip r:embed="rId37">
                            <a:extLst>
                              <a:ext uri="{28A0092B-C50C-407E-A947-70E740481C1C}">
                                <a14:useLocalDpi xmlns:a14="http://schemas.microsoft.com/office/drawing/2010/main"/>
                              </a:ext>
                            </a:extLst>
                          </a:blip>
                          <a:stretch>
                            <a:fillRect/>
                          </a:stretch>
                        </pic:blipFill>
                        <pic:spPr>
                          <a:xfrm>
                            <a:off x="0" y="0"/>
                            <a:ext cx="219075" cy="257175"/>
                          </a:xfrm>
                          <a:prstGeom prst="rect">
                            <a:avLst/>
                          </a:prstGeom>
                        </pic:spPr>
                      </pic:pic>
                    </a:graphicData>
                  </a:graphic>
                </wp:inline>
              </w:drawing>
            </w:r>
          </w:p>
          <w:p w14:paraId="3093A43B" w14:textId="23F86606" w:rsidR="440D62A7" w:rsidRDefault="440D62A7" w:rsidP="440D62A7">
            <w:pPr>
              <w:spacing w:line="257" w:lineRule="auto"/>
              <w:jc w:val="center"/>
              <w:rPr>
                <w:rFonts w:ascii="Times New Roman" w:eastAsia="Times New Roman" w:hAnsi="Times New Roman" w:cs="Times New Roman"/>
                <w:sz w:val="24"/>
                <w:szCs w:val="24"/>
              </w:rPr>
            </w:pPr>
            <w:r>
              <w:rPr>
                <w:noProof/>
              </w:rPr>
              <w:drawing>
                <wp:inline distT="0" distB="0" distL="0" distR="0" wp14:anchorId="47A9C013" wp14:editId="748133BB">
                  <wp:extent cx="1571625" cy="361950"/>
                  <wp:effectExtent l="0" t="0" r="0" b="0"/>
                  <wp:docPr id="14083749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121491" name="Picture 1212121491"/>
                          <pic:cNvPicPr/>
                        </pic:nvPicPr>
                        <pic:blipFill>
                          <a:blip r:embed="rId38">
                            <a:extLst>
                              <a:ext uri="{28A0092B-C50C-407E-A947-70E740481C1C}">
                                <a14:useLocalDpi xmlns:a14="http://schemas.microsoft.com/office/drawing/2010/main"/>
                              </a:ext>
                            </a:extLst>
                          </a:blip>
                          <a:stretch>
                            <a:fillRect/>
                          </a:stretch>
                        </pic:blipFill>
                        <pic:spPr>
                          <a:xfrm>
                            <a:off x="0" y="0"/>
                            <a:ext cx="1571625" cy="361950"/>
                          </a:xfrm>
                          <a:prstGeom prst="rect">
                            <a:avLst/>
                          </a:prstGeom>
                        </pic:spPr>
                      </pic:pic>
                    </a:graphicData>
                  </a:graphic>
                </wp:inline>
              </w:drawing>
            </w:r>
          </w:p>
        </w:tc>
        <w:tc>
          <w:tcPr>
            <w:tcW w:w="3015" w:type="dxa"/>
            <w:tcBorders>
              <w:top w:val="single" w:sz="8" w:space="0" w:color="auto"/>
              <w:left w:val="nil"/>
              <w:bottom w:val="nil"/>
              <w:right w:val="nil"/>
            </w:tcBorders>
            <w:tcMar>
              <w:left w:w="108" w:type="dxa"/>
              <w:right w:w="108" w:type="dxa"/>
            </w:tcMar>
          </w:tcPr>
          <w:p w14:paraId="7210A570" w14:textId="10153312" w:rsidR="440D62A7" w:rsidRDefault="440D62A7" w:rsidP="440D62A7">
            <w:pPr>
              <w:rPr>
                <w:rFonts w:ascii="Times New Roman" w:eastAsia="Times New Roman" w:hAnsi="Times New Roman" w:cs="Times New Roman"/>
                <w:sz w:val="24"/>
                <w:szCs w:val="24"/>
              </w:rPr>
            </w:pPr>
            <w:proofErr w:type="spellStart"/>
            <w:r w:rsidRPr="440D62A7">
              <w:rPr>
                <w:rFonts w:ascii="Times New Roman" w:eastAsia="Times New Roman" w:hAnsi="Times New Roman" w:cs="Times New Roman"/>
                <w:sz w:val="24"/>
                <w:szCs w:val="24"/>
              </w:rPr>
              <w:t>beta.inv</w:t>
            </w:r>
            <w:proofErr w:type="spellEnd"/>
            <w:r w:rsidRPr="440D62A7">
              <w:rPr>
                <w:rFonts w:ascii="Times New Roman" w:eastAsia="Times New Roman" w:hAnsi="Times New Roman" w:cs="Times New Roman"/>
                <w:sz w:val="24"/>
                <w:szCs w:val="24"/>
              </w:rPr>
              <w:t>(rand(),alpha, beta)</w:t>
            </w:r>
          </w:p>
        </w:tc>
      </w:tr>
      <w:tr w:rsidR="440D62A7" w14:paraId="479A0B48" w14:textId="77777777" w:rsidTr="30D56DD0">
        <w:trPr>
          <w:trHeight w:val="300"/>
        </w:trPr>
        <w:tc>
          <w:tcPr>
            <w:tcW w:w="1695" w:type="dxa"/>
            <w:tcBorders>
              <w:top w:val="nil"/>
              <w:left w:val="nil"/>
              <w:bottom w:val="nil"/>
              <w:right w:val="nil"/>
            </w:tcBorders>
            <w:tcMar>
              <w:left w:w="108" w:type="dxa"/>
              <w:right w:w="108" w:type="dxa"/>
            </w:tcMar>
          </w:tcPr>
          <w:p w14:paraId="01EF8B96" w14:textId="4221E37B" w:rsidR="440D62A7" w:rsidRDefault="440D62A7" w:rsidP="440D62A7">
            <w:pPr>
              <w:rPr>
                <w:rFonts w:ascii="Times New Roman" w:eastAsia="Times New Roman" w:hAnsi="Times New Roman" w:cs="Times New Roman"/>
                <w:b/>
                <w:bCs/>
                <w:sz w:val="24"/>
                <w:szCs w:val="24"/>
              </w:rPr>
            </w:pPr>
            <w:r w:rsidRPr="440D62A7">
              <w:rPr>
                <w:rFonts w:ascii="Times New Roman" w:eastAsia="Times New Roman" w:hAnsi="Times New Roman" w:cs="Times New Roman"/>
                <w:b/>
                <w:bCs/>
                <w:sz w:val="24"/>
                <w:szCs w:val="24"/>
              </w:rPr>
              <w:t>Dirichlet</w:t>
            </w:r>
          </w:p>
        </w:tc>
        <w:tc>
          <w:tcPr>
            <w:tcW w:w="4335" w:type="dxa"/>
            <w:tcBorders>
              <w:top w:val="nil"/>
              <w:left w:val="nil"/>
              <w:bottom w:val="nil"/>
              <w:right w:val="nil"/>
            </w:tcBorders>
            <w:tcMar>
              <w:left w:w="108" w:type="dxa"/>
              <w:right w:w="108" w:type="dxa"/>
            </w:tcMar>
          </w:tcPr>
          <w:p w14:paraId="47EC089D" w14:textId="4851A875" w:rsidR="440D62A7" w:rsidRDefault="440D62A7" w:rsidP="440D62A7">
            <w:pPr>
              <w:spacing w:line="257" w:lineRule="auto"/>
              <w:rPr>
                <w:rFonts w:ascii="Times New Roman" w:eastAsia="Times New Roman" w:hAnsi="Times New Roman" w:cs="Times New Roman"/>
                <w:sz w:val="24"/>
                <w:szCs w:val="24"/>
              </w:rPr>
            </w:pPr>
            <w:r>
              <w:rPr>
                <w:noProof/>
              </w:rPr>
              <w:drawing>
                <wp:inline distT="0" distB="0" distL="0" distR="0" wp14:anchorId="5008776F" wp14:editId="4BA94270">
                  <wp:extent cx="552450" cy="333375"/>
                  <wp:effectExtent l="0" t="0" r="0" b="0"/>
                  <wp:docPr id="10925182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842990" name="Picture 2118842990"/>
                          <pic:cNvPicPr/>
                        </pic:nvPicPr>
                        <pic:blipFill>
                          <a:blip r:embed="rId39">
                            <a:extLst>
                              <a:ext uri="{28A0092B-C50C-407E-A947-70E740481C1C}">
                                <a14:useLocalDpi xmlns:a14="http://schemas.microsoft.com/office/drawing/2010/main"/>
                              </a:ext>
                            </a:extLst>
                          </a:blip>
                          <a:stretch>
                            <a:fillRect/>
                          </a:stretch>
                        </pic:blipFill>
                        <pic:spPr>
                          <a:xfrm>
                            <a:off x="0" y="0"/>
                            <a:ext cx="552450" cy="333375"/>
                          </a:xfrm>
                          <a:prstGeom prst="rect">
                            <a:avLst/>
                          </a:prstGeom>
                        </pic:spPr>
                      </pic:pic>
                    </a:graphicData>
                  </a:graphic>
                </wp:inline>
              </w:drawing>
            </w:r>
          </w:p>
        </w:tc>
        <w:tc>
          <w:tcPr>
            <w:tcW w:w="3015" w:type="dxa"/>
            <w:tcBorders>
              <w:top w:val="nil"/>
              <w:left w:val="nil"/>
              <w:bottom w:val="nil"/>
              <w:right w:val="nil"/>
            </w:tcBorders>
            <w:tcMar>
              <w:left w:w="108" w:type="dxa"/>
              <w:right w:w="108" w:type="dxa"/>
            </w:tcMar>
          </w:tcPr>
          <w:p w14:paraId="7CE52CAF" w14:textId="535E2BEA" w:rsidR="440D62A7" w:rsidRDefault="440D62A7" w:rsidP="440D62A7">
            <w:pPr>
              <w:rPr>
                <w:rFonts w:ascii="Times New Roman" w:eastAsia="Times New Roman" w:hAnsi="Times New Roman" w:cs="Times New Roman"/>
                <w:sz w:val="24"/>
                <w:szCs w:val="24"/>
              </w:rPr>
            </w:pPr>
            <w:proofErr w:type="spellStart"/>
            <w:r w:rsidRPr="440D62A7">
              <w:rPr>
                <w:rFonts w:ascii="Times New Roman" w:eastAsia="Times New Roman" w:hAnsi="Times New Roman" w:cs="Times New Roman"/>
                <w:sz w:val="24"/>
                <w:szCs w:val="24"/>
              </w:rPr>
              <w:t>gamma.inv</w:t>
            </w:r>
            <w:proofErr w:type="spellEnd"/>
            <w:r w:rsidRPr="440D62A7">
              <w:rPr>
                <w:rFonts w:ascii="Times New Roman" w:eastAsia="Times New Roman" w:hAnsi="Times New Roman" w:cs="Times New Roman"/>
                <w:sz w:val="24"/>
                <w:szCs w:val="24"/>
              </w:rPr>
              <w:t>(rand(),</w:t>
            </w:r>
            <w:r>
              <w:rPr>
                <w:noProof/>
              </w:rPr>
              <w:drawing>
                <wp:inline distT="0" distB="0" distL="0" distR="0" wp14:anchorId="00773D74" wp14:editId="197168E7">
                  <wp:extent cx="314325" cy="180975"/>
                  <wp:effectExtent l="0" t="0" r="0" b="0"/>
                  <wp:docPr id="19570256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78462" name="Picture 563678462"/>
                          <pic:cNvPicPr/>
                        </pic:nvPicPr>
                        <pic:blipFill>
                          <a:blip r:embed="rId40">
                            <a:extLst>
                              <a:ext uri="{28A0092B-C50C-407E-A947-70E740481C1C}">
                                <a14:useLocalDpi xmlns:a14="http://schemas.microsoft.com/office/drawing/2010/main"/>
                              </a:ext>
                            </a:extLst>
                          </a:blip>
                          <a:stretch>
                            <a:fillRect/>
                          </a:stretch>
                        </pic:blipFill>
                        <pic:spPr>
                          <a:xfrm>
                            <a:off x="0" y="0"/>
                            <a:ext cx="314325" cy="180975"/>
                          </a:xfrm>
                          <a:prstGeom prst="rect">
                            <a:avLst/>
                          </a:prstGeom>
                        </pic:spPr>
                      </pic:pic>
                    </a:graphicData>
                  </a:graphic>
                </wp:inline>
              </w:drawing>
            </w:r>
          </w:p>
        </w:tc>
      </w:tr>
      <w:tr w:rsidR="440D62A7" w14:paraId="0A2DA868" w14:textId="77777777" w:rsidTr="30D56DD0">
        <w:trPr>
          <w:trHeight w:val="300"/>
        </w:trPr>
        <w:tc>
          <w:tcPr>
            <w:tcW w:w="1695" w:type="dxa"/>
            <w:tcBorders>
              <w:top w:val="nil"/>
              <w:left w:val="nil"/>
              <w:bottom w:val="single" w:sz="8" w:space="0" w:color="auto"/>
              <w:right w:val="nil"/>
            </w:tcBorders>
            <w:tcMar>
              <w:left w:w="108" w:type="dxa"/>
              <w:right w:w="108" w:type="dxa"/>
            </w:tcMar>
          </w:tcPr>
          <w:p w14:paraId="24898537" w14:textId="7125704B" w:rsidR="440D62A7" w:rsidRDefault="440D62A7" w:rsidP="440D62A7">
            <w:pPr>
              <w:rPr>
                <w:rFonts w:ascii="Times New Roman" w:eastAsia="Times New Roman" w:hAnsi="Times New Roman" w:cs="Times New Roman"/>
                <w:b/>
                <w:bCs/>
                <w:sz w:val="24"/>
                <w:szCs w:val="24"/>
              </w:rPr>
            </w:pPr>
            <w:r w:rsidRPr="440D62A7">
              <w:rPr>
                <w:rFonts w:ascii="Times New Roman" w:eastAsia="Times New Roman" w:hAnsi="Times New Roman" w:cs="Times New Roman"/>
                <w:b/>
                <w:bCs/>
                <w:sz w:val="24"/>
                <w:szCs w:val="24"/>
              </w:rPr>
              <w:t>Gamma</w:t>
            </w:r>
          </w:p>
        </w:tc>
        <w:tc>
          <w:tcPr>
            <w:tcW w:w="4335" w:type="dxa"/>
            <w:tcBorders>
              <w:top w:val="nil"/>
              <w:left w:val="nil"/>
              <w:bottom w:val="single" w:sz="8" w:space="0" w:color="auto"/>
              <w:right w:val="nil"/>
            </w:tcBorders>
            <w:tcMar>
              <w:left w:w="108" w:type="dxa"/>
              <w:right w:w="108" w:type="dxa"/>
            </w:tcMar>
          </w:tcPr>
          <w:p w14:paraId="0981C59B" w14:textId="37C71B31" w:rsidR="440D62A7" w:rsidRDefault="440D62A7" w:rsidP="440D62A7">
            <w:pPr>
              <w:spacing w:line="257" w:lineRule="auto"/>
              <w:jc w:val="center"/>
              <w:rPr>
                <w:rFonts w:ascii="Times New Roman" w:eastAsia="Times New Roman" w:hAnsi="Times New Roman" w:cs="Times New Roman"/>
                <w:sz w:val="24"/>
                <w:szCs w:val="24"/>
              </w:rPr>
            </w:pPr>
            <w:r>
              <w:rPr>
                <w:noProof/>
              </w:rPr>
              <w:drawing>
                <wp:inline distT="0" distB="0" distL="0" distR="0" wp14:anchorId="58DC1862" wp14:editId="7D27AD52">
                  <wp:extent cx="85725" cy="180975"/>
                  <wp:effectExtent l="0" t="0" r="0" b="0"/>
                  <wp:docPr id="842882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721824" name="Picture 602721824"/>
                          <pic:cNvPicPr/>
                        </pic:nvPicPr>
                        <pic:blipFill>
                          <a:blip r:embed="rId36">
                            <a:extLst>
                              <a:ext uri="{28A0092B-C50C-407E-A947-70E740481C1C}">
                                <a14:useLocalDpi xmlns:a14="http://schemas.microsoft.com/office/drawing/2010/main"/>
                              </a:ext>
                            </a:extLst>
                          </a:blip>
                          <a:stretch>
                            <a:fillRect/>
                          </a:stretch>
                        </pic:blipFill>
                        <pic:spPr>
                          <a:xfrm>
                            <a:off x="0" y="0"/>
                            <a:ext cx="85725" cy="180975"/>
                          </a:xfrm>
                          <a:prstGeom prst="rect">
                            <a:avLst/>
                          </a:prstGeom>
                        </pic:spPr>
                      </pic:pic>
                    </a:graphicData>
                  </a:graphic>
                </wp:inline>
              </w:drawing>
            </w:r>
            <w:r w:rsidRPr="440D62A7">
              <w:rPr>
                <w:rFonts w:ascii="Times New Roman" w:eastAsia="Times New Roman" w:hAnsi="Times New Roman" w:cs="Times New Roman"/>
                <w:sz w:val="24"/>
                <w:szCs w:val="24"/>
              </w:rPr>
              <w:t>=</w:t>
            </w:r>
            <w:r>
              <w:rPr>
                <w:noProof/>
              </w:rPr>
              <w:drawing>
                <wp:inline distT="0" distB="0" distL="0" distR="0" wp14:anchorId="1471BC03" wp14:editId="55782F9F">
                  <wp:extent cx="171450" cy="180975"/>
                  <wp:effectExtent l="0" t="0" r="0" b="0"/>
                  <wp:docPr id="5121475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558460" name="Picture 408558460"/>
                          <pic:cNvPicPr/>
                        </pic:nvPicPr>
                        <pic:blipFill>
                          <a:blip r:embed="rId41">
                            <a:extLst>
                              <a:ext uri="{28A0092B-C50C-407E-A947-70E740481C1C}">
                                <a14:useLocalDpi xmlns:a14="http://schemas.microsoft.com/office/drawing/2010/main"/>
                              </a:ext>
                            </a:extLst>
                          </a:blip>
                          <a:stretch>
                            <a:fillRect/>
                          </a:stretch>
                        </pic:blipFill>
                        <pic:spPr>
                          <a:xfrm>
                            <a:off x="0" y="0"/>
                            <a:ext cx="171450" cy="180975"/>
                          </a:xfrm>
                          <a:prstGeom prst="rect">
                            <a:avLst/>
                          </a:prstGeom>
                        </pic:spPr>
                      </pic:pic>
                    </a:graphicData>
                  </a:graphic>
                </wp:inline>
              </w:drawing>
            </w:r>
          </w:p>
          <w:p w14:paraId="07309F88" w14:textId="0F4B4401" w:rsidR="440D62A7" w:rsidRDefault="440D62A7" w:rsidP="440D62A7">
            <w:pPr>
              <w:spacing w:line="257" w:lineRule="auto"/>
              <w:rPr>
                <w:rFonts w:ascii="Times New Roman" w:eastAsia="Times New Roman" w:hAnsi="Times New Roman" w:cs="Times New Roman"/>
                <w:sz w:val="24"/>
                <w:szCs w:val="24"/>
              </w:rPr>
            </w:pPr>
            <w:r>
              <w:rPr>
                <w:noProof/>
              </w:rPr>
              <w:drawing>
                <wp:inline distT="0" distB="0" distL="0" distR="0" wp14:anchorId="25E597FA" wp14:editId="7B4BA9C6">
                  <wp:extent cx="552450" cy="180975"/>
                  <wp:effectExtent l="0" t="0" r="0" b="0"/>
                  <wp:docPr id="10910445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5994" name="Picture 201225994"/>
                          <pic:cNvPicPr/>
                        </pic:nvPicPr>
                        <pic:blipFill>
                          <a:blip r:embed="rId42">
                            <a:extLst>
                              <a:ext uri="{28A0092B-C50C-407E-A947-70E740481C1C}">
                                <a14:useLocalDpi xmlns:a14="http://schemas.microsoft.com/office/drawing/2010/main"/>
                              </a:ext>
                            </a:extLst>
                          </a:blip>
                          <a:stretch>
                            <a:fillRect/>
                          </a:stretch>
                        </pic:blipFill>
                        <pic:spPr>
                          <a:xfrm>
                            <a:off x="0" y="0"/>
                            <a:ext cx="552450" cy="180975"/>
                          </a:xfrm>
                          <a:prstGeom prst="rect">
                            <a:avLst/>
                          </a:prstGeom>
                        </pic:spPr>
                      </pic:pic>
                    </a:graphicData>
                  </a:graphic>
                </wp:inline>
              </w:drawing>
            </w:r>
          </w:p>
        </w:tc>
        <w:tc>
          <w:tcPr>
            <w:tcW w:w="3015" w:type="dxa"/>
            <w:tcBorders>
              <w:top w:val="nil"/>
              <w:left w:val="nil"/>
              <w:bottom w:val="single" w:sz="8" w:space="0" w:color="auto"/>
              <w:right w:val="nil"/>
            </w:tcBorders>
            <w:tcMar>
              <w:left w:w="108" w:type="dxa"/>
              <w:right w:w="108" w:type="dxa"/>
            </w:tcMar>
          </w:tcPr>
          <w:p w14:paraId="7FEF9506" w14:textId="645CA305" w:rsidR="440D62A7" w:rsidRDefault="16872267" w:rsidP="76C0B922">
            <w:pPr>
              <w:rPr>
                <w:rFonts w:ascii="Times New Roman" w:eastAsia="Times New Roman" w:hAnsi="Times New Roman" w:cs="Times New Roman"/>
                <w:sz w:val="24"/>
                <w:szCs w:val="24"/>
              </w:rPr>
            </w:pPr>
            <w:proofErr w:type="spellStart"/>
            <w:r w:rsidRPr="76C0B922">
              <w:rPr>
                <w:rFonts w:ascii="Times New Roman" w:eastAsia="Times New Roman" w:hAnsi="Times New Roman" w:cs="Times New Roman"/>
                <w:sz w:val="24"/>
                <w:szCs w:val="24"/>
              </w:rPr>
              <w:t>gamma.inv</w:t>
            </w:r>
            <w:proofErr w:type="spellEnd"/>
            <w:r w:rsidRPr="76C0B922">
              <w:rPr>
                <w:rFonts w:ascii="Times New Roman" w:eastAsia="Times New Roman" w:hAnsi="Times New Roman" w:cs="Times New Roman"/>
                <w:sz w:val="24"/>
                <w:szCs w:val="24"/>
              </w:rPr>
              <w:t>(rand(),alpha, beta)</w:t>
            </w:r>
          </w:p>
        </w:tc>
      </w:tr>
    </w:tbl>
    <w:p w14:paraId="7FFD57DF" w14:textId="48D3F0D7" w:rsidR="30D56DD0" w:rsidRDefault="30D56DD0">
      <w:r>
        <w:br w:type="page"/>
      </w:r>
    </w:p>
    <w:p w14:paraId="328E30E8" w14:textId="0D0BF09B" w:rsidR="06EAC1B3" w:rsidRDefault="06EAC1B3" w:rsidP="76C0B922">
      <w:pPr>
        <w:pStyle w:val="Heading1"/>
        <w:jc w:val="center"/>
        <w:rPr>
          <w:rFonts w:ascii="Times New Roman" w:eastAsia="Times New Roman" w:hAnsi="Times New Roman" w:cs="Times New Roman"/>
          <w:color w:val="auto"/>
          <w:sz w:val="32"/>
          <w:szCs w:val="32"/>
        </w:rPr>
      </w:pPr>
      <w:bookmarkStart w:id="17" w:name="_Toc1088081107"/>
      <w:r w:rsidRPr="30076135">
        <w:rPr>
          <w:rFonts w:ascii="Times New Roman" w:eastAsia="Times New Roman" w:hAnsi="Times New Roman" w:cs="Times New Roman"/>
          <w:color w:val="auto"/>
          <w:sz w:val="32"/>
          <w:szCs w:val="32"/>
        </w:rPr>
        <w:lastRenderedPageBreak/>
        <w:t>References</w:t>
      </w:r>
      <w:bookmarkEnd w:id="17"/>
    </w:p>
    <w:p w14:paraId="31FD95C6" w14:textId="6872D4F0" w:rsidR="06EAC1B3" w:rsidRDefault="06EAC1B3" w:rsidP="76C0B922">
      <w:pPr>
        <w:spacing w:before="240" w:after="240"/>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 xml:space="preserve">Bahl, A., </w:t>
      </w:r>
      <w:proofErr w:type="spellStart"/>
      <w:r w:rsidRPr="76C0B922">
        <w:rPr>
          <w:rFonts w:ascii="Times New Roman" w:eastAsia="Times New Roman" w:hAnsi="Times New Roman" w:cs="Times New Roman"/>
          <w:sz w:val="24"/>
          <w:szCs w:val="24"/>
        </w:rPr>
        <w:t>Oudard</w:t>
      </w:r>
      <w:proofErr w:type="spellEnd"/>
      <w:r w:rsidRPr="76C0B922">
        <w:rPr>
          <w:rFonts w:ascii="Times New Roman" w:eastAsia="Times New Roman" w:hAnsi="Times New Roman" w:cs="Times New Roman"/>
          <w:sz w:val="24"/>
          <w:szCs w:val="24"/>
        </w:rPr>
        <w:t xml:space="preserve">, S., </w:t>
      </w:r>
      <w:proofErr w:type="spellStart"/>
      <w:r w:rsidRPr="76C0B922">
        <w:rPr>
          <w:rFonts w:ascii="Times New Roman" w:eastAsia="Times New Roman" w:hAnsi="Times New Roman" w:cs="Times New Roman"/>
          <w:sz w:val="24"/>
          <w:szCs w:val="24"/>
        </w:rPr>
        <w:t>Tombal</w:t>
      </w:r>
      <w:proofErr w:type="spellEnd"/>
      <w:r w:rsidRPr="76C0B922">
        <w:rPr>
          <w:rFonts w:ascii="Times New Roman" w:eastAsia="Times New Roman" w:hAnsi="Times New Roman" w:cs="Times New Roman"/>
          <w:sz w:val="24"/>
          <w:szCs w:val="24"/>
        </w:rPr>
        <w:t xml:space="preserve">, B., </w:t>
      </w:r>
      <w:proofErr w:type="spellStart"/>
      <w:r w:rsidRPr="76C0B922">
        <w:rPr>
          <w:rFonts w:ascii="Times New Roman" w:eastAsia="Times New Roman" w:hAnsi="Times New Roman" w:cs="Times New Roman"/>
          <w:sz w:val="24"/>
          <w:szCs w:val="24"/>
        </w:rPr>
        <w:t>Özgüroğlu</w:t>
      </w:r>
      <w:proofErr w:type="spellEnd"/>
      <w:r w:rsidRPr="76C0B922">
        <w:rPr>
          <w:rFonts w:ascii="Times New Roman" w:eastAsia="Times New Roman" w:hAnsi="Times New Roman" w:cs="Times New Roman"/>
          <w:sz w:val="24"/>
          <w:szCs w:val="24"/>
        </w:rPr>
        <w:t xml:space="preserve">, M., Hansen, S., Kocak, I., Gravis, G., Devin, J., Shen, L., De Bono, J. S., &amp; Sartor, A. O. (2013). Impact of </w:t>
      </w:r>
      <w:r w:rsidR="77EA56D4" w:rsidRPr="76C0B922">
        <w:rPr>
          <w:rFonts w:ascii="Times New Roman" w:eastAsia="Times New Roman" w:hAnsi="Times New Roman" w:cs="Times New Roman"/>
          <w:sz w:val="24"/>
          <w:szCs w:val="24"/>
        </w:rPr>
        <w:t>Cabazitaxel</w:t>
      </w:r>
      <w:r w:rsidRPr="76C0B922">
        <w:rPr>
          <w:rFonts w:ascii="Times New Roman" w:eastAsia="Times New Roman" w:hAnsi="Times New Roman" w:cs="Times New Roman"/>
          <w:sz w:val="24"/>
          <w:szCs w:val="24"/>
        </w:rPr>
        <w:t xml:space="preserve"> on 2-year survival and palliation of tumour-related pain in men with metastatic castration-resistant prostate cancer treated in the TROPIC trial. </w:t>
      </w:r>
      <w:r w:rsidRPr="76C0B922">
        <w:rPr>
          <w:rFonts w:ascii="Times New Roman" w:eastAsia="Times New Roman" w:hAnsi="Times New Roman" w:cs="Times New Roman"/>
          <w:i/>
          <w:iCs/>
          <w:sz w:val="24"/>
          <w:szCs w:val="24"/>
        </w:rPr>
        <w:t>Annals of Oncology, 24</w:t>
      </w:r>
      <w:r w:rsidRPr="76C0B922">
        <w:rPr>
          <w:rFonts w:ascii="Times New Roman" w:eastAsia="Times New Roman" w:hAnsi="Times New Roman" w:cs="Times New Roman"/>
          <w:sz w:val="24"/>
          <w:szCs w:val="24"/>
        </w:rPr>
        <w:t xml:space="preserve">(9), 2402–2408. </w:t>
      </w:r>
      <w:hyperlink r:id="rId43">
        <w:r w:rsidRPr="76C0B922">
          <w:rPr>
            <w:rStyle w:val="Hyperlink"/>
            <w:rFonts w:ascii="Times New Roman" w:eastAsia="Times New Roman" w:hAnsi="Times New Roman" w:cs="Times New Roman"/>
            <w:sz w:val="24"/>
            <w:szCs w:val="24"/>
          </w:rPr>
          <w:t>https://doi.org/10.1093/annonc/mdt194</w:t>
        </w:r>
      </w:hyperlink>
    </w:p>
    <w:p w14:paraId="7B828E18" w14:textId="1F3CC2FF" w:rsidR="06EAC1B3" w:rsidRDefault="06EAC1B3" w:rsidP="76C0B922">
      <w:pPr>
        <w:spacing w:before="240" w:after="240"/>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 xml:space="preserve">Bahl, A., Masson, S., Birtle, A., Dean, E., Kingsmore, D., Jones, R., &amp; on behalf of the UK </w:t>
      </w:r>
      <w:r w:rsidR="77EA56D4" w:rsidRPr="76C0B922">
        <w:rPr>
          <w:rFonts w:ascii="Times New Roman" w:eastAsia="Times New Roman" w:hAnsi="Times New Roman" w:cs="Times New Roman"/>
          <w:sz w:val="24"/>
          <w:szCs w:val="24"/>
        </w:rPr>
        <w:t>Cabazitaxel</w:t>
      </w:r>
      <w:r w:rsidRPr="76C0B922">
        <w:rPr>
          <w:rFonts w:ascii="Times New Roman" w:eastAsia="Times New Roman" w:hAnsi="Times New Roman" w:cs="Times New Roman"/>
          <w:sz w:val="24"/>
          <w:szCs w:val="24"/>
        </w:rPr>
        <w:t xml:space="preserve"> Early Access Programme Investigators. (2015). Second-line treatment for metastatic castration-resistant prostate cancer: Early results from the UK </w:t>
      </w:r>
      <w:r w:rsidR="77EA56D4" w:rsidRPr="76C0B922">
        <w:rPr>
          <w:rFonts w:ascii="Times New Roman" w:eastAsia="Times New Roman" w:hAnsi="Times New Roman" w:cs="Times New Roman"/>
          <w:sz w:val="24"/>
          <w:szCs w:val="24"/>
        </w:rPr>
        <w:t>Cabazitaxel</w:t>
      </w:r>
      <w:r w:rsidRPr="76C0B922">
        <w:rPr>
          <w:rFonts w:ascii="Times New Roman" w:eastAsia="Times New Roman" w:hAnsi="Times New Roman" w:cs="Times New Roman"/>
          <w:sz w:val="24"/>
          <w:szCs w:val="24"/>
        </w:rPr>
        <w:t xml:space="preserve"> Early Access Programme (EAP). </w:t>
      </w:r>
      <w:r w:rsidRPr="76C0B922">
        <w:rPr>
          <w:rFonts w:ascii="Times New Roman" w:eastAsia="Times New Roman" w:hAnsi="Times New Roman" w:cs="Times New Roman"/>
          <w:i/>
          <w:iCs/>
          <w:sz w:val="24"/>
          <w:szCs w:val="24"/>
        </w:rPr>
        <w:t>BJU International, 116</w:t>
      </w:r>
      <w:r w:rsidRPr="76C0B922">
        <w:rPr>
          <w:rFonts w:ascii="Times New Roman" w:eastAsia="Times New Roman" w:hAnsi="Times New Roman" w:cs="Times New Roman"/>
          <w:sz w:val="24"/>
          <w:szCs w:val="24"/>
        </w:rPr>
        <w:t xml:space="preserve">(6), 880–887. </w:t>
      </w:r>
      <w:hyperlink r:id="rId44">
        <w:r w:rsidRPr="76C0B922">
          <w:rPr>
            <w:rStyle w:val="Hyperlink"/>
            <w:rFonts w:ascii="Times New Roman" w:eastAsia="Times New Roman" w:hAnsi="Times New Roman" w:cs="Times New Roman"/>
            <w:sz w:val="24"/>
            <w:szCs w:val="24"/>
          </w:rPr>
          <w:t>https://doi.org/10.1111/bju.13166</w:t>
        </w:r>
      </w:hyperlink>
    </w:p>
    <w:p w14:paraId="6C6A9115" w14:textId="02CB84FC" w:rsidR="06EAC1B3" w:rsidRDefault="06EAC1B3" w:rsidP="76C0B922">
      <w:pPr>
        <w:spacing w:before="240" w:after="240"/>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 xml:space="preserve">Cancer Research UK. (2023). </w:t>
      </w:r>
      <w:r w:rsidRPr="76C0B922">
        <w:rPr>
          <w:rFonts w:ascii="Times New Roman" w:eastAsia="Times New Roman" w:hAnsi="Times New Roman" w:cs="Times New Roman"/>
          <w:i/>
          <w:iCs/>
          <w:sz w:val="24"/>
          <w:szCs w:val="24"/>
        </w:rPr>
        <w:t>Prostate cancer statistics</w:t>
      </w:r>
      <w:r w:rsidRPr="76C0B922">
        <w:rPr>
          <w:rFonts w:ascii="Times New Roman" w:eastAsia="Times New Roman" w:hAnsi="Times New Roman" w:cs="Times New Roman"/>
          <w:sz w:val="24"/>
          <w:szCs w:val="24"/>
        </w:rPr>
        <w:t xml:space="preserve">. </w:t>
      </w:r>
      <w:hyperlink r:id="rId45">
        <w:r w:rsidRPr="76C0B922">
          <w:rPr>
            <w:rStyle w:val="Hyperlink"/>
            <w:rFonts w:ascii="Times New Roman" w:eastAsia="Times New Roman" w:hAnsi="Times New Roman" w:cs="Times New Roman"/>
            <w:sz w:val="24"/>
            <w:szCs w:val="24"/>
          </w:rPr>
          <w:t>https://www.cancerresearchuk.org/health-professional/cancer-statistics/statistics-by-cancer-type/prostate-cancer</w:t>
        </w:r>
      </w:hyperlink>
    </w:p>
    <w:p w14:paraId="1DC40F0E" w14:textId="68D67BBE" w:rsidR="06EAC1B3" w:rsidRDefault="06EAC1B3" w:rsidP="76C0B922">
      <w:pPr>
        <w:spacing w:before="240" w:after="240"/>
        <w:rPr>
          <w:rFonts w:ascii="Times New Roman" w:eastAsia="Times New Roman" w:hAnsi="Times New Roman" w:cs="Times New Roman"/>
          <w:sz w:val="24"/>
          <w:szCs w:val="24"/>
        </w:rPr>
      </w:pPr>
      <w:proofErr w:type="spellStart"/>
      <w:r w:rsidRPr="009C1AE1">
        <w:rPr>
          <w:rFonts w:ascii="Times New Roman" w:eastAsia="Times New Roman" w:hAnsi="Times New Roman" w:cs="Times New Roman"/>
          <w:sz w:val="24"/>
          <w:szCs w:val="24"/>
          <w:lang w:val="nl-NL"/>
        </w:rPr>
        <w:t>Cornford</w:t>
      </w:r>
      <w:proofErr w:type="spellEnd"/>
      <w:r w:rsidRPr="009C1AE1">
        <w:rPr>
          <w:rFonts w:ascii="Times New Roman" w:eastAsia="Times New Roman" w:hAnsi="Times New Roman" w:cs="Times New Roman"/>
          <w:sz w:val="24"/>
          <w:szCs w:val="24"/>
          <w:lang w:val="nl-NL"/>
        </w:rPr>
        <w:t xml:space="preserve">, P., van den Bergh, R. C. N., </w:t>
      </w:r>
      <w:proofErr w:type="spellStart"/>
      <w:r w:rsidRPr="009C1AE1">
        <w:rPr>
          <w:rFonts w:ascii="Times New Roman" w:eastAsia="Times New Roman" w:hAnsi="Times New Roman" w:cs="Times New Roman"/>
          <w:sz w:val="24"/>
          <w:szCs w:val="24"/>
          <w:lang w:val="nl-NL"/>
        </w:rPr>
        <w:t>Briers</w:t>
      </w:r>
      <w:proofErr w:type="spellEnd"/>
      <w:r w:rsidRPr="009C1AE1">
        <w:rPr>
          <w:rFonts w:ascii="Times New Roman" w:eastAsia="Times New Roman" w:hAnsi="Times New Roman" w:cs="Times New Roman"/>
          <w:sz w:val="24"/>
          <w:szCs w:val="24"/>
          <w:lang w:val="nl-NL"/>
        </w:rPr>
        <w:t xml:space="preserve">, E., Van den Broeck, T., </w:t>
      </w:r>
      <w:proofErr w:type="spellStart"/>
      <w:r w:rsidRPr="009C1AE1">
        <w:rPr>
          <w:rFonts w:ascii="Times New Roman" w:eastAsia="Times New Roman" w:hAnsi="Times New Roman" w:cs="Times New Roman"/>
          <w:sz w:val="24"/>
          <w:szCs w:val="24"/>
          <w:lang w:val="nl-NL"/>
        </w:rPr>
        <w:t>Cumberbatch</w:t>
      </w:r>
      <w:proofErr w:type="spellEnd"/>
      <w:r w:rsidRPr="009C1AE1">
        <w:rPr>
          <w:rFonts w:ascii="Times New Roman" w:eastAsia="Times New Roman" w:hAnsi="Times New Roman" w:cs="Times New Roman"/>
          <w:sz w:val="24"/>
          <w:szCs w:val="24"/>
          <w:lang w:val="nl-NL"/>
        </w:rPr>
        <w:t xml:space="preserve">, M. G., De </w:t>
      </w:r>
      <w:proofErr w:type="spellStart"/>
      <w:r w:rsidRPr="009C1AE1">
        <w:rPr>
          <w:rFonts w:ascii="Times New Roman" w:eastAsia="Times New Roman" w:hAnsi="Times New Roman" w:cs="Times New Roman"/>
          <w:sz w:val="24"/>
          <w:szCs w:val="24"/>
          <w:lang w:val="nl-NL"/>
        </w:rPr>
        <w:t>Santis</w:t>
      </w:r>
      <w:proofErr w:type="spellEnd"/>
      <w:r w:rsidRPr="009C1AE1">
        <w:rPr>
          <w:rFonts w:ascii="Times New Roman" w:eastAsia="Times New Roman" w:hAnsi="Times New Roman" w:cs="Times New Roman"/>
          <w:sz w:val="24"/>
          <w:szCs w:val="24"/>
          <w:lang w:val="nl-NL"/>
        </w:rPr>
        <w:t xml:space="preserve">, M., </w:t>
      </w:r>
      <w:proofErr w:type="spellStart"/>
      <w:r w:rsidRPr="009C1AE1">
        <w:rPr>
          <w:rFonts w:ascii="Times New Roman" w:eastAsia="Times New Roman" w:hAnsi="Times New Roman" w:cs="Times New Roman"/>
          <w:sz w:val="24"/>
          <w:szCs w:val="24"/>
          <w:lang w:val="nl-NL"/>
        </w:rPr>
        <w:t>Fanti</w:t>
      </w:r>
      <w:proofErr w:type="spellEnd"/>
      <w:r w:rsidRPr="009C1AE1">
        <w:rPr>
          <w:rFonts w:ascii="Times New Roman" w:eastAsia="Times New Roman" w:hAnsi="Times New Roman" w:cs="Times New Roman"/>
          <w:sz w:val="24"/>
          <w:szCs w:val="24"/>
          <w:lang w:val="nl-NL"/>
        </w:rPr>
        <w:t xml:space="preserve">, S., </w:t>
      </w:r>
      <w:proofErr w:type="spellStart"/>
      <w:r w:rsidRPr="009C1AE1">
        <w:rPr>
          <w:rFonts w:ascii="Times New Roman" w:eastAsia="Times New Roman" w:hAnsi="Times New Roman" w:cs="Times New Roman"/>
          <w:sz w:val="24"/>
          <w:szCs w:val="24"/>
          <w:lang w:val="nl-NL"/>
        </w:rPr>
        <w:t>Fossati</w:t>
      </w:r>
      <w:proofErr w:type="spellEnd"/>
      <w:r w:rsidRPr="009C1AE1">
        <w:rPr>
          <w:rFonts w:ascii="Times New Roman" w:eastAsia="Times New Roman" w:hAnsi="Times New Roman" w:cs="Times New Roman"/>
          <w:sz w:val="24"/>
          <w:szCs w:val="24"/>
          <w:lang w:val="nl-NL"/>
        </w:rPr>
        <w:t xml:space="preserve">, N., </w:t>
      </w:r>
      <w:proofErr w:type="spellStart"/>
      <w:r w:rsidRPr="009C1AE1">
        <w:rPr>
          <w:rFonts w:ascii="Times New Roman" w:eastAsia="Times New Roman" w:hAnsi="Times New Roman" w:cs="Times New Roman"/>
          <w:sz w:val="24"/>
          <w:szCs w:val="24"/>
          <w:lang w:val="nl-NL"/>
        </w:rPr>
        <w:t>Gandaglia</w:t>
      </w:r>
      <w:proofErr w:type="spellEnd"/>
      <w:r w:rsidRPr="009C1AE1">
        <w:rPr>
          <w:rFonts w:ascii="Times New Roman" w:eastAsia="Times New Roman" w:hAnsi="Times New Roman" w:cs="Times New Roman"/>
          <w:sz w:val="24"/>
          <w:szCs w:val="24"/>
          <w:lang w:val="nl-NL"/>
        </w:rPr>
        <w:t xml:space="preserve">, G., Gillessen, S., </w:t>
      </w:r>
      <w:proofErr w:type="spellStart"/>
      <w:r w:rsidRPr="009C1AE1">
        <w:rPr>
          <w:rFonts w:ascii="Times New Roman" w:eastAsia="Times New Roman" w:hAnsi="Times New Roman" w:cs="Times New Roman"/>
          <w:sz w:val="24"/>
          <w:szCs w:val="24"/>
          <w:lang w:val="nl-NL"/>
        </w:rPr>
        <w:t>Grummet</w:t>
      </w:r>
      <w:proofErr w:type="spellEnd"/>
      <w:r w:rsidRPr="009C1AE1">
        <w:rPr>
          <w:rFonts w:ascii="Times New Roman" w:eastAsia="Times New Roman" w:hAnsi="Times New Roman" w:cs="Times New Roman"/>
          <w:sz w:val="24"/>
          <w:szCs w:val="24"/>
          <w:lang w:val="nl-NL"/>
        </w:rPr>
        <w:t xml:space="preserve">, J., Henry, A. M., Lam, T. B., Mason, M. D., </w:t>
      </w:r>
      <w:proofErr w:type="spellStart"/>
      <w:r w:rsidRPr="009C1AE1">
        <w:rPr>
          <w:rFonts w:ascii="Times New Roman" w:eastAsia="Times New Roman" w:hAnsi="Times New Roman" w:cs="Times New Roman"/>
          <w:sz w:val="24"/>
          <w:szCs w:val="24"/>
          <w:lang w:val="nl-NL"/>
        </w:rPr>
        <w:t>Matveev</w:t>
      </w:r>
      <w:proofErr w:type="spellEnd"/>
      <w:r w:rsidRPr="009C1AE1">
        <w:rPr>
          <w:rFonts w:ascii="Times New Roman" w:eastAsia="Times New Roman" w:hAnsi="Times New Roman" w:cs="Times New Roman"/>
          <w:sz w:val="24"/>
          <w:szCs w:val="24"/>
          <w:lang w:val="nl-NL"/>
        </w:rPr>
        <w:t xml:space="preserve">, V. B., </w:t>
      </w:r>
      <w:proofErr w:type="spellStart"/>
      <w:r w:rsidRPr="009C1AE1">
        <w:rPr>
          <w:rFonts w:ascii="Times New Roman" w:eastAsia="Times New Roman" w:hAnsi="Times New Roman" w:cs="Times New Roman"/>
          <w:sz w:val="24"/>
          <w:szCs w:val="24"/>
          <w:lang w:val="nl-NL"/>
        </w:rPr>
        <w:t>Mottet</w:t>
      </w:r>
      <w:proofErr w:type="spellEnd"/>
      <w:r w:rsidRPr="009C1AE1">
        <w:rPr>
          <w:rFonts w:ascii="Times New Roman" w:eastAsia="Times New Roman" w:hAnsi="Times New Roman" w:cs="Times New Roman"/>
          <w:sz w:val="24"/>
          <w:szCs w:val="24"/>
          <w:lang w:val="nl-NL"/>
        </w:rPr>
        <w:t xml:space="preserve">, N., van der Poel, H. G., </w:t>
      </w:r>
      <w:proofErr w:type="spellStart"/>
      <w:r w:rsidRPr="009C1AE1">
        <w:rPr>
          <w:rFonts w:ascii="Times New Roman" w:eastAsia="Times New Roman" w:hAnsi="Times New Roman" w:cs="Times New Roman"/>
          <w:sz w:val="24"/>
          <w:szCs w:val="24"/>
          <w:lang w:val="nl-NL"/>
        </w:rPr>
        <w:t>Rouvière</w:t>
      </w:r>
      <w:proofErr w:type="spellEnd"/>
      <w:r w:rsidRPr="009C1AE1">
        <w:rPr>
          <w:rFonts w:ascii="Times New Roman" w:eastAsia="Times New Roman" w:hAnsi="Times New Roman" w:cs="Times New Roman"/>
          <w:sz w:val="24"/>
          <w:szCs w:val="24"/>
          <w:lang w:val="nl-NL"/>
        </w:rPr>
        <w:t xml:space="preserve">, O., </w:t>
      </w:r>
      <w:proofErr w:type="spellStart"/>
      <w:r w:rsidRPr="009C1AE1">
        <w:rPr>
          <w:rFonts w:ascii="Times New Roman" w:eastAsia="Times New Roman" w:hAnsi="Times New Roman" w:cs="Times New Roman"/>
          <w:sz w:val="24"/>
          <w:szCs w:val="24"/>
          <w:lang w:val="nl-NL"/>
        </w:rPr>
        <w:t>Schoots</w:t>
      </w:r>
      <w:proofErr w:type="spellEnd"/>
      <w:r w:rsidRPr="009C1AE1">
        <w:rPr>
          <w:rFonts w:ascii="Times New Roman" w:eastAsia="Times New Roman" w:hAnsi="Times New Roman" w:cs="Times New Roman"/>
          <w:sz w:val="24"/>
          <w:szCs w:val="24"/>
          <w:lang w:val="nl-NL"/>
        </w:rPr>
        <w:t xml:space="preserve">, I. G., … </w:t>
      </w:r>
      <w:r w:rsidRPr="76C0B922">
        <w:rPr>
          <w:rFonts w:ascii="Times New Roman" w:eastAsia="Times New Roman" w:hAnsi="Times New Roman" w:cs="Times New Roman"/>
          <w:sz w:val="24"/>
          <w:szCs w:val="24"/>
        </w:rPr>
        <w:t xml:space="preserve">Mottet, N. (2021). EAU-EANM-ESTRO-ESUR-SIOG guidelines on prostate cancer. </w:t>
      </w:r>
      <w:r w:rsidRPr="76C0B922">
        <w:rPr>
          <w:rFonts w:ascii="Times New Roman" w:eastAsia="Times New Roman" w:hAnsi="Times New Roman" w:cs="Times New Roman"/>
          <w:i/>
          <w:iCs/>
          <w:sz w:val="24"/>
          <w:szCs w:val="24"/>
        </w:rPr>
        <w:t>European Urology, 79</w:t>
      </w:r>
      <w:r w:rsidRPr="76C0B922">
        <w:rPr>
          <w:rFonts w:ascii="Times New Roman" w:eastAsia="Times New Roman" w:hAnsi="Times New Roman" w:cs="Times New Roman"/>
          <w:sz w:val="24"/>
          <w:szCs w:val="24"/>
        </w:rPr>
        <w:t xml:space="preserve">(2), 243–262. </w:t>
      </w:r>
      <w:hyperlink r:id="rId46">
        <w:r w:rsidRPr="76C0B922">
          <w:rPr>
            <w:rStyle w:val="Hyperlink"/>
            <w:rFonts w:ascii="Times New Roman" w:eastAsia="Times New Roman" w:hAnsi="Times New Roman" w:cs="Times New Roman"/>
            <w:sz w:val="24"/>
            <w:szCs w:val="24"/>
          </w:rPr>
          <w:t>https://doi.org/10.1016/j.eururo.2020.09.042</w:t>
        </w:r>
      </w:hyperlink>
    </w:p>
    <w:p w14:paraId="473181AD" w14:textId="5BAA5C2A" w:rsidR="06EAC1B3" w:rsidRDefault="06EAC1B3" w:rsidP="76C0B922">
      <w:pPr>
        <w:spacing w:before="240" w:after="240"/>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 xml:space="preserve">De Bono, J. S., </w:t>
      </w:r>
      <w:proofErr w:type="spellStart"/>
      <w:r w:rsidRPr="76C0B922">
        <w:rPr>
          <w:rFonts w:ascii="Times New Roman" w:eastAsia="Times New Roman" w:hAnsi="Times New Roman" w:cs="Times New Roman"/>
          <w:sz w:val="24"/>
          <w:szCs w:val="24"/>
        </w:rPr>
        <w:t>Oudard</w:t>
      </w:r>
      <w:proofErr w:type="spellEnd"/>
      <w:r w:rsidRPr="76C0B922">
        <w:rPr>
          <w:rFonts w:ascii="Times New Roman" w:eastAsia="Times New Roman" w:hAnsi="Times New Roman" w:cs="Times New Roman"/>
          <w:sz w:val="24"/>
          <w:szCs w:val="24"/>
        </w:rPr>
        <w:t xml:space="preserve">, S., </w:t>
      </w:r>
      <w:proofErr w:type="spellStart"/>
      <w:r w:rsidRPr="76C0B922">
        <w:rPr>
          <w:rFonts w:ascii="Times New Roman" w:eastAsia="Times New Roman" w:hAnsi="Times New Roman" w:cs="Times New Roman"/>
          <w:sz w:val="24"/>
          <w:szCs w:val="24"/>
        </w:rPr>
        <w:t>Ozguroglu</w:t>
      </w:r>
      <w:proofErr w:type="spellEnd"/>
      <w:r w:rsidRPr="76C0B922">
        <w:rPr>
          <w:rFonts w:ascii="Times New Roman" w:eastAsia="Times New Roman" w:hAnsi="Times New Roman" w:cs="Times New Roman"/>
          <w:sz w:val="24"/>
          <w:szCs w:val="24"/>
        </w:rPr>
        <w:t xml:space="preserve">, M., Hansen, S., </w:t>
      </w:r>
      <w:proofErr w:type="spellStart"/>
      <w:r w:rsidRPr="76C0B922">
        <w:rPr>
          <w:rFonts w:ascii="Times New Roman" w:eastAsia="Times New Roman" w:hAnsi="Times New Roman" w:cs="Times New Roman"/>
          <w:sz w:val="24"/>
          <w:szCs w:val="24"/>
        </w:rPr>
        <w:t>Machiels</w:t>
      </w:r>
      <w:proofErr w:type="spellEnd"/>
      <w:r w:rsidRPr="76C0B922">
        <w:rPr>
          <w:rFonts w:ascii="Times New Roman" w:eastAsia="Times New Roman" w:hAnsi="Times New Roman" w:cs="Times New Roman"/>
          <w:sz w:val="24"/>
          <w:szCs w:val="24"/>
        </w:rPr>
        <w:t xml:space="preserve">, J.-P., Kocak, I., Gravis, G., Bodrogi, I., Mackenzie, M. J., Shen, L., Roessner, M., Gupta, S., &amp; Sartor, A. O. (2010). Prednisone plus </w:t>
      </w:r>
      <w:r w:rsidR="77EA56D4" w:rsidRPr="76C0B922">
        <w:rPr>
          <w:rFonts w:ascii="Times New Roman" w:eastAsia="Times New Roman" w:hAnsi="Times New Roman" w:cs="Times New Roman"/>
          <w:sz w:val="24"/>
          <w:szCs w:val="24"/>
        </w:rPr>
        <w:t>Cabazitaxel</w:t>
      </w:r>
      <w:r w:rsidRPr="76C0B922">
        <w:rPr>
          <w:rFonts w:ascii="Times New Roman" w:eastAsia="Times New Roman" w:hAnsi="Times New Roman" w:cs="Times New Roman"/>
          <w:sz w:val="24"/>
          <w:szCs w:val="24"/>
        </w:rPr>
        <w:t xml:space="preserve"> or </w:t>
      </w:r>
      <w:r w:rsidR="2E1C6553" w:rsidRPr="76C0B922">
        <w:rPr>
          <w:rFonts w:ascii="Times New Roman" w:eastAsia="Times New Roman" w:hAnsi="Times New Roman" w:cs="Times New Roman"/>
          <w:sz w:val="24"/>
          <w:szCs w:val="24"/>
        </w:rPr>
        <w:t>Mitoxantrone</w:t>
      </w:r>
      <w:r w:rsidRPr="76C0B922">
        <w:rPr>
          <w:rFonts w:ascii="Times New Roman" w:eastAsia="Times New Roman" w:hAnsi="Times New Roman" w:cs="Times New Roman"/>
          <w:sz w:val="24"/>
          <w:szCs w:val="24"/>
        </w:rPr>
        <w:t xml:space="preserve"> for metastatic castration-resistant prostate cancer progressing after docetaxel treatment: A randomised open-label trial. </w:t>
      </w:r>
      <w:r w:rsidRPr="76C0B922">
        <w:rPr>
          <w:rFonts w:ascii="Times New Roman" w:eastAsia="Times New Roman" w:hAnsi="Times New Roman" w:cs="Times New Roman"/>
          <w:i/>
          <w:iCs/>
          <w:sz w:val="24"/>
          <w:szCs w:val="24"/>
        </w:rPr>
        <w:t>The Lancet, 376</w:t>
      </w:r>
      <w:r w:rsidRPr="76C0B922">
        <w:rPr>
          <w:rFonts w:ascii="Times New Roman" w:eastAsia="Times New Roman" w:hAnsi="Times New Roman" w:cs="Times New Roman"/>
          <w:sz w:val="24"/>
          <w:szCs w:val="24"/>
        </w:rPr>
        <w:t xml:space="preserve">(9747), 1147–1154. </w:t>
      </w:r>
      <w:hyperlink r:id="rId47">
        <w:r w:rsidRPr="76C0B922">
          <w:rPr>
            <w:rStyle w:val="Hyperlink"/>
            <w:rFonts w:ascii="Times New Roman" w:eastAsia="Times New Roman" w:hAnsi="Times New Roman" w:cs="Times New Roman"/>
            <w:sz w:val="24"/>
            <w:szCs w:val="24"/>
          </w:rPr>
          <w:t>https://doi.org/10.1016/S0140-6736(10)61389-X</w:t>
        </w:r>
      </w:hyperlink>
    </w:p>
    <w:p w14:paraId="25A79219" w14:textId="04DCCD95" w:rsidR="06EAC1B3" w:rsidRDefault="06EAC1B3" w:rsidP="76C0B922">
      <w:pPr>
        <w:spacing w:before="240" w:after="240"/>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 xml:space="preserve">Department of Health and Social Care. (2024). </w:t>
      </w:r>
      <w:r w:rsidRPr="76C0B922">
        <w:rPr>
          <w:rFonts w:ascii="Times New Roman" w:eastAsia="Times New Roman" w:hAnsi="Times New Roman" w:cs="Times New Roman"/>
          <w:i/>
          <w:iCs/>
          <w:sz w:val="24"/>
          <w:szCs w:val="24"/>
        </w:rPr>
        <w:t>Drugs and pharmaceutical electronic market information tool (</w:t>
      </w:r>
      <w:proofErr w:type="spellStart"/>
      <w:r w:rsidRPr="76C0B922">
        <w:rPr>
          <w:rFonts w:ascii="Times New Roman" w:eastAsia="Times New Roman" w:hAnsi="Times New Roman" w:cs="Times New Roman"/>
          <w:i/>
          <w:iCs/>
          <w:sz w:val="24"/>
          <w:szCs w:val="24"/>
        </w:rPr>
        <w:t>eMIT</w:t>
      </w:r>
      <w:proofErr w:type="spellEnd"/>
      <w:r w:rsidRPr="76C0B922">
        <w:rPr>
          <w:rFonts w:ascii="Times New Roman" w:eastAsia="Times New Roman" w:hAnsi="Times New Roman" w:cs="Times New Roman"/>
          <w:i/>
          <w:iCs/>
          <w:sz w:val="24"/>
          <w:szCs w:val="24"/>
        </w:rPr>
        <w:t>)</w:t>
      </w:r>
      <w:r w:rsidRPr="76C0B922">
        <w:rPr>
          <w:rFonts w:ascii="Times New Roman" w:eastAsia="Times New Roman" w:hAnsi="Times New Roman" w:cs="Times New Roman"/>
          <w:sz w:val="24"/>
          <w:szCs w:val="24"/>
        </w:rPr>
        <w:t xml:space="preserve">. </w:t>
      </w:r>
      <w:hyperlink r:id="rId48">
        <w:r w:rsidRPr="76C0B922">
          <w:rPr>
            <w:rStyle w:val="Hyperlink"/>
            <w:rFonts w:ascii="Times New Roman" w:eastAsia="Times New Roman" w:hAnsi="Times New Roman" w:cs="Times New Roman"/>
            <w:sz w:val="24"/>
            <w:szCs w:val="24"/>
          </w:rPr>
          <w:t>https://www.gov.uk/government/publications/drugs-and-pharmaceutical-electronic-market-information-emit</w:t>
        </w:r>
      </w:hyperlink>
    </w:p>
    <w:p w14:paraId="7D818ECC" w14:textId="7181CC28" w:rsidR="06EAC1B3" w:rsidRDefault="06EAC1B3" w:rsidP="76C0B922">
      <w:pPr>
        <w:spacing w:before="240" w:after="240"/>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 xml:space="preserve">Dolan, P., Gudex, C., Kind, P., &amp; Williams, A. (1995). </w:t>
      </w:r>
      <w:r w:rsidRPr="76C0B922">
        <w:rPr>
          <w:rFonts w:ascii="Times New Roman" w:eastAsia="Times New Roman" w:hAnsi="Times New Roman" w:cs="Times New Roman"/>
          <w:i/>
          <w:iCs/>
          <w:sz w:val="24"/>
          <w:szCs w:val="24"/>
        </w:rPr>
        <w:t xml:space="preserve">A social tariff for </w:t>
      </w:r>
      <w:proofErr w:type="spellStart"/>
      <w:r w:rsidRPr="76C0B922">
        <w:rPr>
          <w:rFonts w:ascii="Times New Roman" w:eastAsia="Times New Roman" w:hAnsi="Times New Roman" w:cs="Times New Roman"/>
          <w:i/>
          <w:iCs/>
          <w:sz w:val="24"/>
          <w:szCs w:val="24"/>
        </w:rPr>
        <w:t>EuroQol</w:t>
      </w:r>
      <w:proofErr w:type="spellEnd"/>
      <w:r w:rsidRPr="76C0B922">
        <w:rPr>
          <w:rFonts w:ascii="Times New Roman" w:eastAsia="Times New Roman" w:hAnsi="Times New Roman" w:cs="Times New Roman"/>
          <w:i/>
          <w:iCs/>
          <w:sz w:val="24"/>
          <w:szCs w:val="24"/>
        </w:rPr>
        <w:t>: Results from a UK general population survey</w:t>
      </w:r>
      <w:r w:rsidRPr="76C0B922">
        <w:rPr>
          <w:rFonts w:ascii="Times New Roman" w:eastAsia="Times New Roman" w:hAnsi="Times New Roman" w:cs="Times New Roman"/>
          <w:sz w:val="24"/>
          <w:szCs w:val="24"/>
        </w:rPr>
        <w:t xml:space="preserve"> (Discussion Paper 138). Centre for Health Economics, University of York.</w:t>
      </w:r>
    </w:p>
    <w:p w14:paraId="3EBEDFE8" w14:textId="63AA3006" w:rsidR="06EAC1B3" w:rsidRDefault="06EAC1B3" w:rsidP="76C0B922">
      <w:pPr>
        <w:spacing w:before="240" w:after="240"/>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 xml:space="preserve">Drummond, M. F., </w:t>
      </w:r>
      <w:proofErr w:type="spellStart"/>
      <w:r w:rsidRPr="76C0B922">
        <w:rPr>
          <w:rFonts w:ascii="Times New Roman" w:eastAsia="Times New Roman" w:hAnsi="Times New Roman" w:cs="Times New Roman"/>
          <w:sz w:val="24"/>
          <w:szCs w:val="24"/>
        </w:rPr>
        <w:t>Sculpher</w:t>
      </w:r>
      <w:proofErr w:type="spellEnd"/>
      <w:r w:rsidRPr="76C0B922">
        <w:rPr>
          <w:rFonts w:ascii="Times New Roman" w:eastAsia="Times New Roman" w:hAnsi="Times New Roman" w:cs="Times New Roman"/>
          <w:sz w:val="24"/>
          <w:szCs w:val="24"/>
        </w:rPr>
        <w:t xml:space="preserve">, M. J., Torrance, G. W., O'Brien, B. J., &amp; Stoddart, G. L. (2005). </w:t>
      </w:r>
      <w:r w:rsidRPr="76C0B922">
        <w:rPr>
          <w:rFonts w:ascii="Times New Roman" w:eastAsia="Times New Roman" w:hAnsi="Times New Roman" w:cs="Times New Roman"/>
          <w:i/>
          <w:iCs/>
          <w:sz w:val="24"/>
          <w:szCs w:val="24"/>
        </w:rPr>
        <w:t>Methods for the economic evaluation of health care programmes</w:t>
      </w:r>
      <w:r w:rsidRPr="76C0B922">
        <w:rPr>
          <w:rFonts w:ascii="Times New Roman" w:eastAsia="Times New Roman" w:hAnsi="Times New Roman" w:cs="Times New Roman"/>
          <w:sz w:val="24"/>
          <w:szCs w:val="24"/>
        </w:rPr>
        <w:t xml:space="preserve"> (3rd ed.). Oxford University Press. </w:t>
      </w:r>
      <w:hyperlink r:id="rId49">
        <w:r w:rsidRPr="76C0B922">
          <w:rPr>
            <w:rStyle w:val="Hyperlink"/>
            <w:rFonts w:ascii="Times New Roman" w:eastAsia="Times New Roman" w:hAnsi="Times New Roman" w:cs="Times New Roman"/>
            <w:sz w:val="24"/>
            <w:szCs w:val="24"/>
          </w:rPr>
          <w:t>https://doi.org/10.1093/oso/9780198529446.001.0001</w:t>
        </w:r>
      </w:hyperlink>
    </w:p>
    <w:p w14:paraId="4BA058A8" w14:textId="1CE2DAA7" w:rsidR="06EAC1B3" w:rsidRDefault="06EAC1B3" w:rsidP="76C0B922">
      <w:pPr>
        <w:spacing w:before="240" w:after="240"/>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 xml:space="preserve">Drummond, M. F., </w:t>
      </w:r>
      <w:proofErr w:type="spellStart"/>
      <w:r w:rsidRPr="76C0B922">
        <w:rPr>
          <w:rFonts w:ascii="Times New Roman" w:eastAsia="Times New Roman" w:hAnsi="Times New Roman" w:cs="Times New Roman"/>
          <w:sz w:val="24"/>
          <w:szCs w:val="24"/>
        </w:rPr>
        <w:t>Sculpher</w:t>
      </w:r>
      <w:proofErr w:type="spellEnd"/>
      <w:r w:rsidRPr="76C0B922">
        <w:rPr>
          <w:rFonts w:ascii="Times New Roman" w:eastAsia="Times New Roman" w:hAnsi="Times New Roman" w:cs="Times New Roman"/>
          <w:sz w:val="24"/>
          <w:szCs w:val="24"/>
        </w:rPr>
        <w:t xml:space="preserve">, M. J., Claxton, K., Stoddart, G. L., &amp; Torrance, G. W. (2015). </w:t>
      </w:r>
      <w:r w:rsidRPr="76C0B922">
        <w:rPr>
          <w:rFonts w:ascii="Times New Roman" w:eastAsia="Times New Roman" w:hAnsi="Times New Roman" w:cs="Times New Roman"/>
          <w:i/>
          <w:iCs/>
          <w:sz w:val="24"/>
          <w:szCs w:val="24"/>
        </w:rPr>
        <w:t>Methods for the economic evaluation of health care programmes</w:t>
      </w:r>
      <w:r w:rsidRPr="76C0B922">
        <w:rPr>
          <w:rFonts w:ascii="Times New Roman" w:eastAsia="Times New Roman" w:hAnsi="Times New Roman" w:cs="Times New Roman"/>
          <w:sz w:val="24"/>
          <w:szCs w:val="24"/>
        </w:rPr>
        <w:t xml:space="preserve"> (4th ed.). Oxford University Press.</w:t>
      </w:r>
    </w:p>
    <w:p w14:paraId="3205BA41" w14:textId="1D2C8990" w:rsidR="06EAC1B3" w:rsidRDefault="06EAC1B3" w:rsidP="76C0B922">
      <w:pPr>
        <w:spacing w:before="240" w:after="240"/>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lastRenderedPageBreak/>
        <w:t xml:space="preserve">Hoyle, M. W., &amp; Henley, W. (2011). Improved curve fits to summary survival data: Application to economic evaluation of health technologies. </w:t>
      </w:r>
      <w:r w:rsidRPr="76C0B922">
        <w:rPr>
          <w:rFonts w:ascii="Times New Roman" w:eastAsia="Times New Roman" w:hAnsi="Times New Roman" w:cs="Times New Roman"/>
          <w:i/>
          <w:iCs/>
          <w:sz w:val="24"/>
          <w:szCs w:val="24"/>
        </w:rPr>
        <w:t>BMC Medical Research Methodology, 11</w:t>
      </w:r>
      <w:r w:rsidRPr="76C0B922">
        <w:rPr>
          <w:rFonts w:ascii="Times New Roman" w:eastAsia="Times New Roman" w:hAnsi="Times New Roman" w:cs="Times New Roman"/>
          <w:sz w:val="24"/>
          <w:szCs w:val="24"/>
        </w:rPr>
        <w:t xml:space="preserve">(139). </w:t>
      </w:r>
      <w:hyperlink r:id="rId50">
        <w:r w:rsidRPr="76C0B922">
          <w:rPr>
            <w:rStyle w:val="Hyperlink"/>
            <w:rFonts w:ascii="Times New Roman" w:eastAsia="Times New Roman" w:hAnsi="Times New Roman" w:cs="Times New Roman"/>
            <w:sz w:val="24"/>
            <w:szCs w:val="24"/>
          </w:rPr>
          <w:t>https://doi.org/10.1186/1471-2288-11-139</w:t>
        </w:r>
      </w:hyperlink>
    </w:p>
    <w:p w14:paraId="7DC81A51" w14:textId="38869917" w:rsidR="06EAC1B3" w:rsidRDefault="06EAC1B3" w:rsidP="76C0B922">
      <w:pPr>
        <w:spacing w:before="240" w:after="240"/>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 xml:space="preserve">James, N. D., Tannock, I., </w:t>
      </w:r>
      <w:proofErr w:type="spellStart"/>
      <w:r w:rsidRPr="76C0B922">
        <w:rPr>
          <w:rFonts w:ascii="Times New Roman" w:eastAsia="Times New Roman" w:hAnsi="Times New Roman" w:cs="Times New Roman"/>
          <w:sz w:val="24"/>
          <w:szCs w:val="24"/>
        </w:rPr>
        <w:t>N'Dow</w:t>
      </w:r>
      <w:proofErr w:type="spellEnd"/>
      <w:r w:rsidRPr="76C0B922">
        <w:rPr>
          <w:rFonts w:ascii="Times New Roman" w:eastAsia="Times New Roman" w:hAnsi="Times New Roman" w:cs="Times New Roman"/>
          <w:sz w:val="24"/>
          <w:szCs w:val="24"/>
        </w:rPr>
        <w:t xml:space="preserve">, J., Feng, F., Garg, T., Goh, J. C., Hamdy, F. C., </w:t>
      </w:r>
      <w:proofErr w:type="spellStart"/>
      <w:r w:rsidRPr="76C0B922">
        <w:rPr>
          <w:rFonts w:ascii="Times New Roman" w:eastAsia="Times New Roman" w:hAnsi="Times New Roman" w:cs="Times New Roman"/>
          <w:sz w:val="24"/>
          <w:szCs w:val="24"/>
        </w:rPr>
        <w:t>Haustermans</w:t>
      </w:r>
      <w:proofErr w:type="spellEnd"/>
      <w:r w:rsidRPr="76C0B922">
        <w:rPr>
          <w:rFonts w:ascii="Times New Roman" w:eastAsia="Times New Roman" w:hAnsi="Times New Roman" w:cs="Times New Roman"/>
          <w:sz w:val="24"/>
          <w:szCs w:val="24"/>
        </w:rPr>
        <w:t xml:space="preserve">, K., Kenfield, S. A., Mason, M. D., Mazhar, D., Murthy, V., Reiter, R. E., Stattin, P., </w:t>
      </w:r>
      <w:proofErr w:type="spellStart"/>
      <w:r w:rsidRPr="76C0B922">
        <w:rPr>
          <w:rFonts w:ascii="Times New Roman" w:eastAsia="Times New Roman" w:hAnsi="Times New Roman" w:cs="Times New Roman"/>
          <w:sz w:val="24"/>
          <w:szCs w:val="24"/>
        </w:rPr>
        <w:t>Tombal</w:t>
      </w:r>
      <w:proofErr w:type="spellEnd"/>
      <w:r w:rsidRPr="76C0B922">
        <w:rPr>
          <w:rFonts w:ascii="Times New Roman" w:eastAsia="Times New Roman" w:hAnsi="Times New Roman" w:cs="Times New Roman"/>
          <w:sz w:val="24"/>
          <w:szCs w:val="24"/>
        </w:rPr>
        <w:t xml:space="preserve">, B., </w:t>
      </w:r>
      <w:proofErr w:type="spellStart"/>
      <w:r w:rsidRPr="76C0B922">
        <w:rPr>
          <w:rFonts w:ascii="Times New Roman" w:eastAsia="Times New Roman" w:hAnsi="Times New Roman" w:cs="Times New Roman"/>
          <w:sz w:val="24"/>
          <w:szCs w:val="24"/>
        </w:rPr>
        <w:t>Touijer</w:t>
      </w:r>
      <w:proofErr w:type="spellEnd"/>
      <w:r w:rsidRPr="76C0B922">
        <w:rPr>
          <w:rFonts w:ascii="Times New Roman" w:eastAsia="Times New Roman" w:hAnsi="Times New Roman" w:cs="Times New Roman"/>
          <w:sz w:val="24"/>
          <w:szCs w:val="24"/>
        </w:rPr>
        <w:t xml:space="preserve">, K. A., van den Bergh, R. C. N., &amp; Agarwal, N. (2024). The Lancet Commission on prostate cancer: Planning for the surge in cases. </w:t>
      </w:r>
      <w:r w:rsidRPr="76C0B922">
        <w:rPr>
          <w:rFonts w:ascii="Times New Roman" w:eastAsia="Times New Roman" w:hAnsi="Times New Roman" w:cs="Times New Roman"/>
          <w:i/>
          <w:iCs/>
          <w:sz w:val="24"/>
          <w:szCs w:val="24"/>
        </w:rPr>
        <w:t>The Lancet, 403</w:t>
      </w:r>
      <w:r w:rsidRPr="76C0B922">
        <w:rPr>
          <w:rFonts w:ascii="Times New Roman" w:eastAsia="Times New Roman" w:hAnsi="Times New Roman" w:cs="Times New Roman"/>
          <w:sz w:val="24"/>
          <w:szCs w:val="24"/>
        </w:rPr>
        <w:t xml:space="preserve">(10437), 1683–1722. </w:t>
      </w:r>
      <w:hyperlink r:id="rId51">
        <w:r w:rsidRPr="76C0B922">
          <w:rPr>
            <w:rStyle w:val="Hyperlink"/>
            <w:rFonts w:ascii="Times New Roman" w:eastAsia="Times New Roman" w:hAnsi="Times New Roman" w:cs="Times New Roman"/>
            <w:sz w:val="24"/>
            <w:szCs w:val="24"/>
          </w:rPr>
          <w:t>https://doi.org/10.1016/S0140-6736(24)00651-2</w:t>
        </w:r>
      </w:hyperlink>
    </w:p>
    <w:p w14:paraId="23B4FCDE" w14:textId="0326D446" w:rsidR="06EAC1B3" w:rsidRDefault="06EAC1B3" w:rsidP="76C0B922">
      <w:pPr>
        <w:spacing w:before="240" w:after="240"/>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 xml:space="preserve">National Institute for Health and Care Excellence. (2012). </w:t>
      </w:r>
      <w:r w:rsidRPr="76C0B922">
        <w:rPr>
          <w:rFonts w:ascii="Times New Roman" w:eastAsia="Times New Roman" w:hAnsi="Times New Roman" w:cs="Times New Roman"/>
          <w:i/>
          <w:iCs/>
          <w:sz w:val="24"/>
          <w:szCs w:val="24"/>
        </w:rPr>
        <w:t>Comments on the appraisal consultation document received from the public: Abiraterone for castration-resistant metastatic prostate cancer previously treated with a docetaxel-containing regimen (TA259)</w:t>
      </w:r>
      <w:r w:rsidRPr="76C0B922">
        <w:rPr>
          <w:rFonts w:ascii="Times New Roman" w:eastAsia="Times New Roman" w:hAnsi="Times New Roman" w:cs="Times New Roman"/>
          <w:sz w:val="24"/>
          <w:szCs w:val="24"/>
        </w:rPr>
        <w:t xml:space="preserve">. </w:t>
      </w:r>
      <w:hyperlink r:id="rId52">
        <w:r w:rsidRPr="76C0B922">
          <w:rPr>
            <w:rStyle w:val="Hyperlink"/>
            <w:rFonts w:ascii="Times New Roman" w:eastAsia="Times New Roman" w:hAnsi="Times New Roman" w:cs="Times New Roman"/>
            <w:sz w:val="24"/>
            <w:szCs w:val="24"/>
          </w:rPr>
          <w:t>https://www.nice.org.uk/guidance/ta259/documents/comments-on-the-appraisal-consultation-document-received-from-the-public-through-the-nice-website2</w:t>
        </w:r>
      </w:hyperlink>
    </w:p>
    <w:p w14:paraId="05B1DD48" w14:textId="7902180F" w:rsidR="06EAC1B3" w:rsidRDefault="06EAC1B3" w:rsidP="76C0B922">
      <w:pPr>
        <w:spacing w:before="240" w:after="240"/>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 xml:space="preserve">National Institute for Health and Care Excellence. (2013). </w:t>
      </w:r>
      <w:r w:rsidRPr="76C0B922">
        <w:rPr>
          <w:rFonts w:ascii="Times New Roman" w:eastAsia="Times New Roman" w:hAnsi="Times New Roman" w:cs="Times New Roman"/>
          <w:i/>
          <w:iCs/>
          <w:sz w:val="24"/>
          <w:szCs w:val="24"/>
        </w:rPr>
        <w:t>Guide to the methods of technology appraisal 2013</w:t>
      </w:r>
      <w:r w:rsidRPr="76C0B922">
        <w:rPr>
          <w:rFonts w:ascii="Times New Roman" w:eastAsia="Times New Roman" w:hAnsi="Times New Roman" w:cs="Times New Roman"/>
          <w:sz w:val="24"/>
          <w:szCs w:val="24"/>
        </w:rPr>
        <w:t xml:space="preserve"> (PMG9). </w:t>
      </w:r>
      <w:hyperlink r:id="rId53">
        <w:r w:rsidRPr="76C0B922">
          <w:rPr>
            <w:rStyle w:val="Hyperlink"/>
            <w:rFonts w:ascii="Times New Roman" w:eastAsia="Times New Roman" w:hAnsi="Times New Roman" w:cs="Times New Roman"/>
            <w:sz w:val="24"/>
            <w:szCs w:val="24"/>
          </w:rPr>
          <w:t>https://www.nice.org.uk/process/pmg9</w:t>
        </w:r>
      </w:hyperlink>
    </w:p>
    <w:p w14:paraId="0A6F4337" w14:textId="57AE6609" w:rsidR="06EAC1B3" w:rsidRDefault="06EAC1B3" w:rsidP="76C0B922">
      <w:pPr>
        <w:spacing w:before="240" w:after="240"/>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 xml:space="preserve">National Institute for Health and Care Excellence. (2016a). </w:t>
      </w:r>
      <w:r w:rsidR="77EA56D4" w:rsidRPr="76C0B922">
        <w:rPr>
          <w:rFonts w:ascii="Times New Roman" w:eastAsia="Times New Roman" w:hAnsi="Times New Roman" w:cs="Times New Roman"/>
          <w:i/>
          <w:iCs/>
          <w:sz w:val="24"/>
          <w:szCs w:val="24"/>
        </w:rPr>
        <w:t>Cabazitaxel</w:t>
      </w:r>
      <w:r w:rsidRPr="76C0B922">
        <w:rPr>
          <w:rFonts w:ascii="Times New Roman" w:eastAsia="Times New Roman" w:hAnsi="Times New Roman" w:cs="Times New Roman"/>
          <w:i/>
          <w:iCs/>
          <w:sz w:val="24"/>
          <w:szCs w:val="24"/>
        </w:rPr>
        <w:t xml:space="preserve"> for hormone-relapsed metastatic prostate cancer treated with docetaxel</w:t>
      </w:r>
      <w:r w:rsidRPr="76C0B922">
        <w:rPr>
          <w:rFonts w:ascii="Times New Roman" w:eastAsia="Times New Roman" w:hAnsi="Times New Roman" w:cs="Times New Roman"/>
          <w:sz w:val="24"/>
          <w:szCs w:val="24"/>
        </w:rPr>
        <w:t xml:space="preserve"> (TA391). </w:t>
      </w:r>
      <w:hyperlink r:id="rId54">
        <w:r w:rsidRPr="76C0B922">
          <w:rPr>
            <w:rStyle w:val="Hyperlink"/>
            <w:rFonts w:ascii="Times New Roman" w:eastAsia="Times New Roman" w:hAnsi="Times New Roman" w:cs="Times New Roman"/>
            <w:sz w:val="24"/>
            <w:szCs w:val="24"/>
          </w:rPr>
          <w:t>https://www.nice.org.uk/guidance/ta391</w:t>
        </w:r>
      </w:hyperlink>
    </w:p>
    <w:p w14:paraId="1F308CC0" w14:textId="1F7F632B" w:rsidR="06EAC1B3" w:rsidRDefault="06EAC1B3" w:rsidP="76C0B922">
      <w:pPr>
        <w:spacing w:before="240" w:after="240"/>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 xml:space="preserve">National Institute for Health and Care Excellence. (2016b). </w:t>
      </w:r>
      <w:r w:rsidR="77EA56D4" w:rsidRPr="76C0B922">
        <w:rPr>
          <w:rFonts w:ascii="Times New Roman" w:eastAsia="Times New Roman" w:hAnsi="Times New Roman" w:cs="Times New Roman"/>
          <w:i/>
          <w:iCs/>
          <w:sz w:val="24"/>
          <w:szCs w:val="24"/>
        </w:rPr>
        <w:t>Cabazitaxel</w:t>
      </w:r>
      <w:r w:rsidRPr="76C0B922">
        <w:rPr>
          <w:rFonts w:ascii="Times New Roman" w:eastAsia="Times New Roman" w:hAnsi="Times New Roman" w:cs="Times New Roman"/>
          <w:i/>
          <w:iCs/>
          <w:sz w:val="24"/>
          <w:szCs w:val="24"/>
        </w:rPr>
        <w:t xml:space="preserve"> for hormone-relapsed metastatic prostate cancer treated with docetaxel (TA391): Committee papers</w:t>
      </w:r>
      <w:r w:rsidRPr="76C0B922">
        <w:rPr>
          <w:rFonts w:ascii="Times New Roman" w:eastAsia="Times New Roman" w:hAnsi="Times New Roman" w:cs="Times New Roman"/>
          <w:sz w:val="24"/>
          <w:szCs w:val="24"/>
        </w:rPr>
        <w:t xml:space="preserve">. </w:t>
      </w:r>
      <w:hyperlink r:id="rId55">
        <w:r w:rsidRPr="76C0B922">
          <w:rPr>
            <w:rStyle w:val="Hyperlink"/>
            <w:rFonts w:ascii="Times New Roman" w:eastAsia="Times New Roman" w:hAnsi="Times New Roman" w:cs="Times New Roman"/>
            <w:sz w:val="24"/>
            <w:szCs w:val="24"/>
          </w:rPr>
          <w:t>https://www.nice.org.uk/guidance/ta391/documents/committee-papers</w:t>
        </w:r>
      </w:hyperlink>
    </w:p>
    <w:p w14:paraId="70F20182" w14:textId="5E2DD804" w:rsidR="06EAC1B3" w:rsidRDefault="06EAC1B3" w:rsidP="76C0B922">
      <w:pPr>
        <w:spacing w:before="240" w:after="240"/>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 xml:space="preserve">National Institute for Health and Care Excellence. (2023). </w:t>
      </w:r>
      <w:r w:rsidRPr="76C0B922">
        <w:rPr>
          <w:rFonts w:ascii="Times New Roman" w:eastAsia="Times New Roman" w:hAnsi="Times New Roman" w:cs="Times New Roman"/>
          <w:i/>
          <w:iCs/>
          <w:sz w:val="24"/>
          <w:szCs w:val="24"/>
        </w:rPr>
        <w:t>NICE health technology evaluations: The manual</w:t>
      </w:r>
      <w:r w:rsidRPr="76C0B922">
        <w:rPr>
          <w:rFonts w:ascii="Times New Roman" w:eastAsia="Times New Roman" w:hAnsi="Times New Roman" w:cs="Times New Roman"/>
          <w:sz w:val="24"/>
          <w:szCs w:val="24"/>
        </w:rPr>
        <w:t xml:space="preserve">. </w:t>
      </w:r>
      <w:hyperlink r:id="rId56">
        <w:r w:rsidRPr="76C0B922">
          <w:rPr>
            <w:rStyle w:val="Hyperlink"/>
            <w:rFonts w:ascii="Times New Roman" w:eastAsia="Times New Roman" w:hAnsi="Times New Roman" w:cs="Times New Roman"/>
            <w:sz w:val="24"/>
            <w:szCs w:val="24"/>
          </w:rPr>
          <w:t>https://www.nice.org.uk/process/pmg36</w:t>
        </w:r>
      </w:hyperlink>
    </w:p>
    <w:p w14:paraId="1350EA76" w14:textId="7DEDA209" w:rsidR="6BF23D79" w:rsidRDefault="6BF23D79" w:rsidP="76C0B922">
      <w:pPr>
        <w:spacing w:before="240" w:after="240"/>
        <w:rPr>
          <w:rFonts w:ascii="Times New Roman" w:eastAsia="Times New Roman" w:hAnsi="Times New Roman" w:cs="Times New Roman"/>
          <w:sz w:val="24"/>
          <w:szCs w:val="24"/>
          <w:lang w:val="en-US"/>
        </w:rPr>
      </w:pPr>
      <w:r w:rsidRPr="76C0B922">
        <w:rPr>
          <w:rFonts w:ascii="Times New Roman" w:eastAsia="Times New Roman" w:hAnsi="Times New Roman" w:cs="Times New Roman"/>
          <w:color w:val="000000" w:themeColor="text1"/>
          <w:sz w:val="24"/>
          <w:szCs w:val="24"/>
          <w:lang w:val="en-US"/>
        </w:rPr>
        <w:t>NICE submission (</w:t>
      </w:r>
      <w:r w:rsidR="32C2FDC6" w:rsidRPr="76C0B922">
        <w:rPr>
          <w:rFonts w:ascii="Times New Roman" w:eastAsia="Times New Roman" w:hAnsi="Times New Roman" w:cs="Times New Roman"/>
          <w:color w:val="000000" w:themeColor="text1"/>
          <w:sz w:val="24"/>
          <w:szCs w:val="24"/>
          <w:lang w:val="en-US"/>
        </w:rPr>
        <w:t xml:space="preserve">2024). </w:t>
      </w:r>
      <w:r w:rsidR="32C2FDC6" w:rsidRPr="76C0B922">
        <w:rPr>
          <w:rFonts w:ascii="Times New Roman" w:eastAsia="Times New Roman" w:hAnsi="Times New Roman" w:cs="Times New Roman"/>
          <w:i/>
          <w:iCs/>
          <w:color w:val="000000" w:themeColor="text1"/>
          <w:sz w:val="24"/>
          <w:szCs w:val="24"/>
          <w:lang w:val="en-US"/>
        </w:rPr>
        <w:t xml:space="preserve">Relugolix for hormone-sensitive prostate cancer (NICE TA995). </w:t>
      </w:r>
      <w:hyperlink r:id="rId57">
        <w:r w:rsidR="32C2FDC6" w:rsidRPr="76C0B922">
          <w:rPr>
            <w:rStyle w:val="Hyperlink"/>
            <w:rFonts w:ascii="Times New Roman" w:eastAsia="Times New Roman" w:hAnsi="Times New Roman" w:cs="Times New Roman"/>
            <w:sz w:val="24"/>
            <w:szCs w:val="24"/>
            <w:lang w:val="en-US"/>
          </w:rPr>
          <w:t>https://www.cheshireformulary.nhs.uk</w:t>
        </w:r>
      </w:hyperlink>
      <w:r w:rsidR="32C2FDC6" w:rsidRPr="76C0B922">
        <w:rPr>
          <w:rFonts w:ascii="Times New Roman" w:eastAsia="Times New Roman" w:hAnsi="Times New Roman" w:cs="Times New Roman"/>
          <w:sz w:val="24"/>
          <w:szCs w:val="24"/>
          <w:lang w:val="en-US"/>
        </w:rPr>
        <w:t xml:space="preserve"> </w:t>
      </w:r>
    </w:p>
    <w:p w14:paraId="06846AB5" w14:textId="2D6A9D07" w:rsidR="4727F344" w:rsidRDefault="4727F344" w:rsidP="76C0B922">
      <w:pPr>
        <w:spacing w:before="240" w:after="240"/>
        <w:rPr>
          <w:rFonts w:ascii="Times New Roman" w:eastAsia="Times New Roman" w:hAnsi="Times New Roman" w:cs="Times New Roman"/>
          <w:sz w:val="24"/>
          <w:szCs w:val="24"/>
          <w:lang w:val="en-US"/>
        </w:rPr>
      </w:pPr>
      <w:r w:rsidRPr="76C0B922">
        <w:rPr>
          <w:rFonts w:ascii="Times New Roman" w:eastAsia="Times New Roman" w:hAnsi="Times New Roman" w:cs="Times New Roman"/>
          <w:sz w:val="24"/>
          <w:szCs w:val="24"/>
          <w:lang w:val="en-US"/>
        </w:rPr>
        <w:t xml:space="preserve">Personal Social Services Research Unit (University of Kent) &amp; Centre for Health Economics (University of York). (n.d.). </w:t>
      </w:r>
      <w:r w:rsidRPr="76C0B922">
        <w:rPr>
          <w:rFonts w:ascii="Times New Roman" w:eastAsia="Times New Roman" w:hAnsi="Times New Roman" w:cs="Times New Roman"/>
          <w:i/>
          <w:iCs/>
          <w:sz w:val="24"/>
          <w:szCs w:val="24"/>
          <w:lang w:val="en-US"/>
        </w:rPr>
        <w:t>Unit Costs of Health and Social Care 2024 Manual - Kent Academic Repository</w:t>
      </w:r>
      <w:r w:rsidRPr="76C0B922">
        <w:rPr>
          <w:rFonts w:ascii="Times New Roman" w:eastAsia="Times New Roman" w:hAnsi="Times New Roman" w:cs="Times New Roman"/>
          <w:sz w:val="24"/>
          <w:szCs w:val="24"/>
          <w:lang w:val="en-US"/>
        </w:rPr>
        <w:t xml:space="preserve">. </w:t>
      </w:r>
      <w:hyperlink r:id="rId58">
        <w:r w:rsidRPr="76C0B922">
          <w:rPr>
            <w:rStyle w:val="Hyperlink"/>
            <w:rFonts w:ascii="Times New Roman" w:eastAsia="Times New Roman" w:hAnsi="Times New Roman" w:cs="Times New Roman"/>
            <w:sz w:val="24"/>
            <w:szCs w:val="24"/>
            <w:lang w:val="en-US"/>
          </w:rPr>
          <w:t>https://kar.kent.ac.uk/109563/</w:t>
        </w:r>
      </w:hyperlink>
      <w:r w:rsidRPr="76C0B922">
        <w:rPr>
          <w:rFonts w:ascii="Times New Roman" w:eastAsia="Times New Roman" w:hAnsi="Times New Roman" w:cs="Times New Roman"/>
          <w:sz w:val="24"/>
          <w:szCs w:val="24"/>
          <w:lang w:val="en-US"/>
        </w:rPr>
        <w:t xml:space="preserve"> </w:t>
      </w:r>
    </w:p>
    <w:p w14:paraId="637097FD" w14:textId="6402C408" w:rsidR="57D7A19B" w:rsidRDefault="57D7A19B" w:rsidP="76C0B922">
      <w:pPr>
        <w:rPr>
          <w:rFonts w:ascii="Times New Roman" w:eastAsia="Times New Roman" w:hAnsi="Times New Roman" w:cs="Times New Roman"/>
          <w:sz w:val="24"/>
          <w:szCs w:val="24"/>
        </w:rPr>
      </w:pPr>
      <w:r w:rsidRPr="76C0B922">
        <w:rPr>
          <w:rFonts w:ascii="Times New Roman" w:eastAsia="Times New Roman" w:hAnsi="Times New Roman" w:cs="Times New Roman"/>
          <w:sz w:val="24"/>
          <w:szCs w:val="24"/>
        </w:rPr>
        <w:t xml:space="preserve">Talbot, T., </w:t>
      </w:r>
      <w:proofErr w:type="spellStart"/>
      <w:r w:rsidRPr="76C0B922">
        <w:rPr>
          <w:rFonts w:ascii="Times New Roman" w:eastAsia="Times New Roman" w:hAnsi="Times New Roman" w:cs="Times New Roman"/>
          <w:sz w:val="24"/>
          <w:szCs w:val="24"/>
        </w:rPr>
        <w:t>Dangoor</w:t>
      </w:r>
      <w:proofErr w:type="spellEnd"/>
      <w:r w:rsidRPr="76C0B922">
        <w:rPr>
          <w:rFonts w:ascii="Times New Roman" w:eastAsia="Times New Roman" w:hAnsi="Times New Roman" w:cs="Times New Roman"/>
          <w:sz w:val="24"/>
          <w:szCs w:val="24"/>
        </w:rPr>
        <w:t xml:space="preserve">, A., Shah, R., Naik, J., Talbot, D., Lester, J. F., Cipelli, R., Hodgson, M., Patel, A., Summerhayes, M., &amp; Newsom-Davis, T. (2017). </w:t>
      </w:r>
      <w:r w:rsidRPr="76C0B922">
        <w:rPr>
          <w:rFonts w:ascii="Times New Roman" w:eastAsia="Times New Roman" w:hAnsi="Times New Roman" w:cs="Times New Roman"/>
          <w:i/>
          <w:iCs/>
          <w:sz w:val="24"/>
          <w:szCs w:val="24"/>
        </w:rPr>
        <w:t>The burden of neutropenic sepsis in patients with advanced non-small cell lung cancer treated with single-agent docetaxel: A retrospective study</w:t>
      </w:r>
      <w:r w:rsidRPr="76C0B922">
        <w:rPr>
          <w:rFonts w:ascii="Times New Roman" w:eastAsia="Times New Roman" w:hAnsi="Times New Roman" w:cs="Times New Roman"/>
          <w:sz w:val="24"/>
          <w:szCs w:val="24"/>
        </w:rPr>
        <w:t xml:space="preserve">. </w:t>
      </w:r>
      <w:r w:rsidRPr="76C0B922">
        <w:rPr>
          <w:rFonts w:ascii="Times New Roman" w:eastAsia="Times New Roman" w:hAnsi="Times New Roman" w:cs="Times New Roman"/>
          <w:i/>
          <w:iCs/>
          <w:sz w:val="24"/>
          <w:szCs w:val="24"/>
        </w:rPr>
        <w:t>Lung Cancer</w:t>
      </w:r>
      <w:r w:rsidRPr="76C0B922">
        <w:rPr>
          <w:rFonts w:ascii="Times New Roman" w:eastAsia="Times New Roman" w:hAnsi="Times New Roman" w:cs="Times New Roman"/>
          <w:sz w:val="24"/>
          <w:szCs w:val="24"/>
        </w:rPr>
        <w:t xml:space="preserve">, </w:t>
      </w:r>
      <w:r w:rsidRPr="76C0B922">
        <w:rPr>
          <w:rFonts w:ascii="Times New Roman" w:eastAsia="Times New Roman" w:hAnsi="Times New Roman" w:cs="Times New Roman"/>
          <w:i/>
          <w:iCs/>
          <w:sz w:val="24"/>
          <w:szCs w:val="24"/>
        </w:rPr>
        <w:t>113</w:t>
      </w:r>
      <w:r w:rsidRPr="76C0B922">
        <w:rPr>
          <w:rFonts w:ascii="Times New Roman" w:eastAsia="Times New Roman" w:hAnsi="Times New Roman" w:cs="Times New Roman"/>
          <w:sz w:val="24"/>
          <w:szCs w:val="24"/>
        </w:rPr>
        <w:t xml:space="preserve">, 115-120. </w:t>
      </w:r>
      <w:hyperlink r:id="rId59">
        <w:r w:rsidRPr="76C0B922">
          <w:rPr>
            <w:rStyle w:val="Hyperlink"/>
            <w:rFonts w:ascii="Times New Roman" w:eastAsia="Times New Roman" w:hAnsi="Times New Roman" w:cs="Times New Roman"/>
            <w:sz w:val="24"/>
            <w:szCs w:val="24"/>
          </w:rPr>
          <w:t>https://doi.org/10.1016/j.lungcan.2017.09.014</w:t>
        </w:r>
      </w:hyperlink>
      <w:r w:rsidRPr="76C0B922">
        <w:rPr>
          <w:rFonts w:ascii="Times New Roman" w:eastAsia="Times New Roman" w:hAnsi="Times New Roman" w:cs="Times New Roman"/>
          <w:sz w:val="24"/>
          <w:szCs w:val="24"/>
        </w:rPr>
        <w:t xml:space="preserve"> </w:t>
      </w:r>
    </w:p>
    <w:p w14:paraId="6AA567FC" w14:textId="5F451E81" w:rsidR="76C0B922" w:rsidRDefault="76C0B922" w:rsidP="76C0B922">
      <w:pPr>
        <w:spacing w:before="240" w:after="240"/>
      </w:pPr>
    </w:p>
    <w:sectPr w:rsidR="76C0B922" w:rsidSect="0045448C">
      <w:headerReference w:type="default" r:id="rId60"/>
      <w:footerReference w:type="default" r:id="rId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4D23F" w14:textId="77777777" w:rsidR="000F7406" w:rsidRDefault="000F7406">
      <w:pPr>
        <w:spacing w:after="0" w:line="240" w:lineRule="auto"/>
      </w:pPr>
      <w:r>
        <w:separator/>
      </w:r>
    </w:p>
  </w:endnote>
  <w:endnote w:type="continuationSeparator" w:id="0">
    <w:p w14:paraId="7452F9D7" w14:textId="77777777" w:rsidR="000F7406" w:rsidRDefault="000F7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tblGrid>
    <w:tr w:rsidR="00B2D36F" w14:paraId="3491B290" w14:textId="77777777" w:rsidTr="76C0B922">
      <w:trPr>
        <w:trHeight w:val="300"/>
      </w:trPr>
      <w:tc>
        <w:tcPr>
          <w:tcW w:w="3020" w:type="dxa"/>
        </w:tcPr>
        <w:p w14:paraId="5CA3EA54" w14:textId="2973AB29" w:rsidR="00D022AE" w:rsidRDefault="00D022AE">
          <w:pPr>
            <w:pStyle w:val="Footer"/>
            <w:jc w:val="right"/>
          </w:pPr>
          <w:r>
            <w:fldChar w:fldCharType="begin"/>
          </w:r>
          <w:r>
            <w:instrText>PAGE   \* MERGEFORMAT</w:instrText>
          </w:r>
          <w:r>
            <w:fldChar w:fldCharType="separate"/>
          </w:r>
          <w:r>
            <w:rPr>
              <w:lang w:val="nl-NL"/>
            </w:rPr>
            <w:t>2</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CB65F" w14:textId="77777777" w:rsidR="000F7406" w:rsidRDefault="000F7406">
      <w:pPr>
        <w:spacing w:after="0" w:line="240" w:lineRule="auto"/>
      </w:pPr>
      <w:r>
        <w:separator/>
      </w:r>
    </w:p>
  </w:footnote>
  <w:footnote w:type="continuationSeparator" w:id="0">
    <w:p w14:paraId="6AE9B1D9" w14:textId="77777777" w:rsidR="000F7406" w:rsidRDefault="000F74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B2D36F" w14:paraId="52C49FEC" w14:textId="77777777" w:rsidTr="00B2D36F">
      <w:trPr>
        <w:trHeight w:val="300"/>
      </w:trPr>
      <w:tc>
        <w:tcPr>
          <w:tcW w:w="3020" w:type="dxa"/>
        </w:tcPr>
        <w:p w14:paraId="36BAA46F" w14:textId="62FEC6FA" w:rsidR="00B2D36F" w:rsidRDefault="00B2D36F" w:rsidP="00B2D36F">
          <w:pPr>
            <w:pStyle w:val="Header"/>
            <w:ind w:left="-115"/>
          </w:pPr>
        </w:p>
      </w:tc>
      <w:tc>
        <w:tcPr>
          <w:tcW w:w="3020" w:type="dxa"/>
        </w:tcPr>
        <w:p w14:paraId="0C74AD06" w14:textId="238F4F0F" w:rsidR="00B2D36F" w:rsidRDefault="00B2D36F" w:rsidP="00B2D36F">
          <w:pPr>
            <w:pStyle w:val="Header"/>
            <w:jc w:val="center"/>
          </w:pPr>
        </w:p>
      </w:tc>
      <w:tc>
        <w:tcPr>
          <w:tcW w:w="3020" w:type="dxa"/>
        </w:tcPr>
        <w:p w14:paraId="72E6FF64" w14:textId="6F06E189" w:rsidR="00B2D36F" w:rsidRDefault="00B2D36F" w:rsidP="00B2D36F">
          <w:pPr>
            <w:pStyle w:val="Header"/>
            <w:ind w:right="-115"/>
            <w:jc w:val="right"/>
          </w:pPr>
        </w:p>
      </w:tc>
    </w:tr>
  </w:tbl>
  <w:p w14:paraId="1AEA4895" w14:textId="5453C62B" w:rsidR="00B2D36F" w:rsidRDefault="00B2D36F" w:rsidP="00B2D36F">
    <w:pPr>
      <w:pStyle w:val="Header"/>
    </w:pPr>
  </w:p>
</w:hdr>
</file>

<file path=word/intelligence2.xml><?xml version="1.0" encoding="utf-8"?>
<int2:intelligence xmlns:int2="http://schemas.microsoft.com/office/intelligence/2020/intelligence" xmlns:oel="http://schemas.microsoft.com/office/2019/extlst">
  <int2:observations>
    <int2:textHash int2:hashCode="RyPRUbDIo5qJD7" int2:id="7LIQav5A">
      <int2:state int2:value="Rejected" int2:type="spell"/>
    </int2:textHash>
    <int2:textHash int2:hashCode="JaOiMddROqEb6+" int2:id="9YYqOb3Q">
      <int2:state int2:value="Rejected" int2:type="spell"/>
    </int2:textHash>
    <int2:textHash int2:hashCode="uBsWGHrmE2sJ2b" int2:id="Q9UbXL1u">
      <int2:state int2:value="Rejected" int2:type="spell"/>
    </int2:textHash>
    <int2:textHash int2:hashCode="qgACpwzQmpnTzO" int2:id="SmzffS4h">
      <int2:state int2:value="Rejected" int2:type="spell"/>
    </int2:textHash>
    <int2:textHash int2:hashCode="3hKxgy5Te+529m" int2:id="VU8l42Xe">
      <int2:state int2:value="Rejected" int2:type="spell"/>
    </int2:textHash>
    <int2:bookmark int2:bookmarkName="_Int_q5oWRYm3" int2:invalidationBookmarkName="" int2:hashCode="wnnec/gHiliDSd" int2:id="0km9fsm6">
      <int2:state int2:value="Rejected" int2:type="style"/>
    </int2:bookmark>
    <int2:bookmark int2:bookmarkName="_Int_TIXazVeg" int2:invalidationBookmarkName="" int2:hashCode="haJS36ZbQJ9Pbh" int2:id="P8QAEkqM">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9058B"/>
    <w:multiLevelType w:val="hybridMultilevel"/>
    <w:tmpl w:val="49023B6C"/>
    <w:lvl w:ilvl="0" w:tplc="EF5640B8">
      <w:start w:val="1"/>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8D374"/>
    <w:multiLevelType w:val="hybridMultilevel"/>
    <w:tmpl w:val="018EDFF2"/>
    <w:lvl w:ilvl="0" w:tplc="0B90D7B4">
      <w:start w:val="1"/>
      <w:numFmt w:val="bullet"/>
      <w:lvlText w:val="-"/>
      <w:lvlJc w:val="left"/>
      <w:pPr>
        <w:ind w:left="720" w:hanging="360"/>
      </w:pPr>
      <w:rPr>
        <w:rFonts w:ascii="Aptos" w:hAnsi="Aptos" w:hint="default"/>
      </w:rPr>
    </w:lvl>
    <w:lvl w:ilvl="1" w:tplc="B03A3570">
      <w:start w:val="1"/>
      <w:numFmt w:val="bullet"/>
      <w:lvlText w:val="o"/>
      <w:lvlJc w:val="left"/>
      <w:pPr>
        <w:ind w:left="1440" w:hanging="360"/>
      </w:pPr>
      <w:rPr>
        <w:rFonts w:ascii="Courier New" w:hAnsi="Courier New" w:hint="default"/>
      </w:rPr>
    </w:lvl>
    <w:lvl w:ilvl="2" w:tplc="8926DB2A">
      <w:start w:val="1"/>
      <w:numFmt w:val="bullet"/>
      <w:lvlText w:val=""/>
      <w:lvlJc w:val="left"/>
      <w:pPr>
        <w:ind w:left="2160" w:hanging="360"/>
      </w:pPr>
      <w:rPr>
        <w:rFonts w:ascii="Wingdings" w:hAnsi="Wingdings" w:hint="default"/>
      </w:rPr>
    </w:lvl>
    <w:lvl w:ilvl="3" w:tplc="8B305830">
      <w:start w:val="1"/>
      <w:numFmt w:val="bullet"/>
      <w:lvlText w:val=""/>
      <w:lvlJc w:val="left"/>
      <w:pPr>
        <w:ind w:left="2880" w:hanging="360"/>
      </w:pPr>
      <w:rPr>
        <w:rFonts w:ascii="Symbol" w:hAnsi="Symbol" w:hint="default"/>
      </w:rPr>
    </w:lvl>
    <w:lvl w:ilvl="4" w:tplc="9F6ECB1C">
      <w:start w:val="1"/>
      <w:numFmt w:val="bullet"/>
      <w:lvlText w:val="o"/>
      <w:lvlJc w:val="left"/>
      <w:pPr>
        <w:ind w:left="3600" w:hanging="360"/>
      </w:pPr>
      <w:rPr>
        <w:rFonts w:ascii="Courier New" w:hAnsi="Courier New" w:hint="default"/>
      </w:rPr>
    </w:lvl>
    <w:lvl w:ilvl="5" w:tplc="7C9C08DC">
      <w:start w:val="1"/>
      <w:numFmt w:val="bullet"/>
      <w:lvlText w:val=""/>
      <w:lvlJc w:val="left"/>
      <w:pPr>
        <w:ind w:left="4320" w:hanging="360"/>
      </w:pPr>
      <w:rPr>
        <w:rFonts w:ascii="Wingdings" w:hAnsi="Wingdings" w:hint="default"/>
      </w:rPr>
    </w:lvl>
    <w:lvl w:ilvl="6" w:tplc="47781CE6">
      <w:start w:val="1"/>
      <w:numFmt w:val="bullet"/>
      <w:lvlText w:val=""/>
      <w:lvlJc w:val="left"/>
      <w:pPr>
        <w:ind w:left="5040" w:hanging="360"/>
      </w:pPr>
      <w:rPr>
        <w:rFonts w:ascii="Symbol" w:hAnsi="Symbol" w:hint="default"/>
      </w:rPr>
    </w:lvl>
    <w:lvl w:ilvl="7" w:tplc="E828C81C">
      <w:start w:val="1"/>
      <w:numFmt w:val="bullet"/>
      <w:lvlText w:val="o"/>
      <w:lvlJc w:val="left"/>
      <w:pPr>
        <w:ind w:left="5760" w:hanging="360"/>
      </w:pPr>
      <w:rPr>
        <w:rFonts w:ascii="Courier New" w:hAnsi="Courier New" w:hint="default"/>
      </w:rPr>
    </w:lvl>
    <w:lvl w:ilvl="8" w:tplc="77441176">
      <w:start w:val="1"/>
      <w:numFmt w:val="bullet"/>
      <w:lvlText w:val=""/>
      <w:lvlJc w:val="left"/>
      <w:pPr>
        <w:ind w:left="6480" w:hanging="360"/>
      </w:pPr>
      <w:rPr>
        <w:rFonts w:ascii="Wingdings" w:hAnsi="Wingdings" w:hint="default"/>
      </w:rPr>
    </w:lvl>
  </w:abstractNum>
  <w:abstractNum w:abstractNumId="2" w15:restartNumberingAfterBreak="0">
    <w:nsid w:val="0B058D36"/>
    <w:multiLevelType w:val="hybridMultilevel"/>
    <w:tmpl w:val="FFFFFFFF"/>
    <w:lvl w:ilvl="0" w:tplc="E8C2E8D6">
      <w:start w:val="1"/>
      <w:numFmt w:val="decimal"/>
      <w:lvlText w:val="%1."/>
      <w:lvlJc w:val="left"/>
      <w:pPr>
        <w:ind w:left="720" w:hanging="360"/>
      </w:pPr>
    </w:lvl>
    <w:lvl w:ilvl="1" w:tplc="0D9C869C">
      <w:start w:val="1"/>
      <w:numFmt w:val="lowerLetter"/>
      <w:lvlText w:val="%2."/>
      <w:lvlJc w:val="left"/>
      <w:pPr>
        <w:ind w:left="1440" w:hanging="360"/>
      </w:pPr>
    </w:lvl>
    <w:lvl w:ilvl="2" w:tplc="A908221E">
      <w:start w:val="1"/>
      <w:numFmt w:val="lowerRoman"/>
      <w:lvlText w:val="%3."/>
      <w:lvlJc w:val="right"/>
      <w:pPr>
        <w:ind w:left="2160" w:hanging="180"/>
      </w:pPr>
    </w:lvl>
    <w:lvl w:ilvl="3" w:tplc="1A5801A8">
      <w:start w:val="1"/>
      <w:numFmt w:val="decimal"/>
      <w:lvlText w:val="%4."/>
      <w:lvlJc w:val="left"/>
      <w:pPr>
        <w:ind w:left="2880" w:hanging="360"/>
      </w:pPr>
    </w:lvl>
    <w:lvl w:ilvl="4" w:tplc="DF5C70C8">
      <w:start w:val="1"/>
      <w:numFmt w:val="lowerLetter"/>
      <w:lvlText w:val="%5."/>
      <w:lvlJc w:val="left"/>
      <w:pPr>
        <w:ind w:left="3600" w:hanging="360"/>
      </w:pPr>
    </w:lvl>
    <w:lvl w:ilvl="5" w:tplc="27F67AFE">
      <w:start w:val="1"/>
      <w:numFmt w:val="lowerRoman"/>
      <w:lvlText w:val="%6."/>
      <w:lvlJc w:val="right"/>
      <w:pPr>
        <w:ind w:left="4320" w:hanging="180"/>
      </w:pPr>
    </w:lvl>
    <w:lvl w:ilvl="6" w:tplc="DF58E43E">
      <w:start w:val="1"/>
      <w:numFmt w:val="decimal"/>
      <w:lvlText w:val="%7."/>
      <w:lvlJc w:val="left"/>
      <w:pPr>
        <w:ind w:left="5040" w:hanging="360"/>
      </w:pPr>
    </w:lvl>
    <w:lvl w:ilvl="7" w:tplc="99B64270">
      <w:start w:val="1"/>
      <w:numFmt w:val="lowerLetter"/>
      <w:lvlText w:val="%8."/>
      <w:lvlJc w:val="left"/>
      <w:pPr>
        <w:ind w:left="5760" w:hanging="360"/>
      </w:pPr>
    </w:lvl>
    <w:lvl w:ilvl="8" w:tplc="0E38DF42">
      <w:start w:val="1"/>
      <w:numFmt w:val="lowerRoman"/>
      <w:lvlText w:val="%9."/>
      <w:lvlJc w:val="right"/>
      <w:pPr>
        <w:ind w:left="6480" w:hanging="180"/>
      </w:pPr>
    </w:lvl>
  </w:abstractNum>
  <w:abstractNum w:abstractNumId="3" w15:restartNumberingAfterBreak="0">
    <w:nsid w:val="0C24040F"/>
    <w:multiLevelType w:val="hybridMultilevel"/>
    <w:tmpl w:val="99B8B8B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2C1A90"/>
    <w:multiLevelType w:val="hybridMultilevel"/>
    <w:tmpl w:val="FFFFFFFF"/>
    <w:lvl w:ilvl="0" w:tplc="91C4A8CC">
      <w:start w:val="1"/>
      <w:numFmt w:val="bullet"/>
      <w:lvlText w:val="-"/>
      <w:lvlJc w:val="left"/>
      <w:pPr>
        <w:ind w:left="720" w:hanging="360"/>
      </w:pPr>
      <w:rPr>
        <w:rFonts w:ascii="Aptos" w:hAnsi="Aptos" w:hint="default"/>
      </w:rPr>
    </w:lvl>
    <w:lvl w:ilvl="1" w:tplc="2B886E32">
      <w:start w:val="1"/>
      <w:numFmt w:val="bullet"/>
      <w:lvlText w:val="o"/>
      <w:lvlJc w:val="left"/>
      <w:pPr>
        <w:ind w:left="1440" w:hanging="360"/>
      </w:pPr>
      <w:rPr>
        <w:rFonts w:ascii="Courier New" w:hAnsi="Courier New" w:hint="default"/>
      </w:rPr>
    </w:lvl>
    <w:lvl w:ilvl="2" w:tplc="0FFA541A">
      <w:start w:val="1"/>
      <w:numFmt w:val="bullet"/>
      <w:lvlText w:val=""/>
      <w:lvlJc w:val="left"/>
      <w:pPr>
        <w:ind w:left="2160" w:hanging="360"/>
      </w:pPr>
      <w:rPr>
        <w:rFonts w:ascii="Wingdings" w:hAnsi="Wingdings" w:hint="default"/>
      </w:rPr>
    </w:lvl>
    <w:lvl w:ilvl="3" w:tplc="CC1C05BE">
      <w:start w:val="1"/>
      <w:numFmt w:val="bullet"/>
      <w:lvlText w:val=""/>
      <w:lvlJc w:val="left"/>
      <w:pPr>
        <w:ind w:left="2880" w:hanging="360"/>
      </w:pPr>
      <w:rPr>
        <w:rFonts w:ascii="Symbol" w:hAnsi="Symbol" w:hint="default"/>
      </w:rPr>
    </w:lvl>
    <w:lvl w:ilvl="4" w:tplc="9328D46C">
      <w:start w:val="1"/>
      <w:numFmt w:val="bullet"/>
      <w:lvlText w:val="o"/>
      <w:lvlJc w:val="left"/>
      <w:pPr>
        <w:ind w:left="3600" w:hanging="360"/>
      </w:pPr>
      <w:rPr>
        <w:rFonts w:ascii="Courier New" w:hAnsi="Courier New" w:hint="default"/>
      </w:rPr>
    </w:lvl>
    <w:lvl w:ilvl="5" w:tplc="C44C127C">
      <w:start w:val="1"/>
      <w:numFmt w:val="bullet"/>
      <w:lvlText w:val=""/>
      <w:lvlJc w:val="left"/>
      <w:pPr>
        <w:ind w:left="4320" w:hanging="360"/>
      </w:pPr>
      <w:rPr>
        <w:rFonts w:ascii="Wingdings" w:hAnsi="Wingdings" w:hint="default"/>
      </w:rPr>
    </w:lvl>
    <w:lvl w:ilvl="6" w:tplc="A5DECA82">
      <w:start w:val="1"/>
      <w:numFmt w:val="bullet"/>
      <w:lvlText w:val=""/>
      <w:lvlJc w:val="left"/>
      <w:pPr>
        <w:ind w:left="5040" w:hanging="360"/>
      </w:pPr>
      <w:rPr>
        <w:rFonts w:ascii="Symbol" w:hAnsi="Symbol" w:hint="default"/>
      </w:rPr>
    </w:lvl>
    <w:lvl w:ilvl="7" w:tplc="5FDCD12A">
      <w:start w:val="1"/>
      <w:numFmt w:val="bullet"/>
      <w:lvlText w:val="o"/>
      <w:lvlJc w:val="left"/>
      <w:pPr>
        <w:ind w:left="5760" w:hanging="360"/>
      </w:pPr>
      <w:rPr>
        <w:rFonts w:ascii="Courier New" w:hAnsi="Courier New" w:hint="default"/>
      </w:rPr>
    </w:lvl>
    <w:lvl w:ilvl="8" w:tplc="D14AAE68">
      <w:start w:val="1"/>
      <w:numFmt w:val="bullet"/>
      <w:lvlText w:val=""/>
      <w:lvlJc w:val="left"/>
      <w:pPr>
        <w:ind w:left="6480" w:hanging="360"/>
      </w:pPr>
      <w:rPr>
        <w:rFonts w:ascii="Wingdings" w:hAnsi="Wingdings" w:hint="default"/>
      </w:rPr>
    </w:lvl>
  </w:abstractNum>
  <w:abstractNum w:abstractNumId="5" w15:restartNumberingAfterBreak="0">
    <w:nsid w:val="143912BB"/>
    <w:multiLevelType w:val="hybridMultilevel"/>
    <w:tmpl w:val="0BD8BBFE"/>
    <w:lvl w:ilvl="0" w:tplc="C5329686">
      <w:start w:val="1"/>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4ADD2"/>
    <w:multiLevelType w:val="hybridMultilevel"/>
    <w:tmpl w:val="FFFFFFFF"/>
    <w:lvl w:ilvl="0" w:tplc="ACE2E238">
      <w:start w:val="1"/>
      <w:numFmt w:val="bullet"/>
      <w:lvlText w:val="-"/>
      <w:lvlJc w:val="left"/>
      <w:pPr>
        <w:ind w:left="720" w:hanging="360"/>
      </w:pPr>
      <w:rPr>
        <w:rFonts w:ascii="Aptos" w:hAnsi="Aptos" w:hint="default"/>
      </w:rPr>
    </w:lvl>
    <w:lvl w:ilvl="1" w:tplc="187EF556">
      <w:start w:val="1"/>
      <w:numFmt w:val="bullet"/>
      <w:lvlText w:val="o"/>
      <w:lvlJc w:val="left"/>
      <w:pPr>
        <w:ind w:left="1440" w:hanging="360"/>
      </w:pPr>
      <w:rPr>
        <w:rFonts w:ascii="Courier New" w:hAnsi="Courier New" w:hint="default"/>
      </w:rPr>
    </w:lvl>
    <w:lvl w:ilvl="2" w:tplc="879C023A">
      <w:start w:val="1"/>
      <w:numFmt w:val="bullet"/>
      <w:lvlText w:val=""/>
      <w:lvlJc w:val="left"/>
      <w:pPr>
        <w:ind w:left="2160" w:hanging="360"/>
      </w:pPr>
      <w:rPr>
        <w:rFonts w:ascii="Wingdings" w:hAnsi="Wingdings" w:hint="default"/>
      </w:rPr>
    </w:lvl>
    <w:lvl w:ilvl="3" w:tplc="CB2C0272">
      <w:start w:val="1"/>
      <w:numFmt w:val="bullet"/>
      <w:lvlText w:val=""/>
      <w:lvlJc w:val="left"/>
      <w:pPr>
        <w:ind w:left="2880" w:hanging="360"/>
      </w:pPr>
      <w:rPr>
        <w:rFonts w:ascii="Symbol" w:hAnsi="Symbol" w:hint="default"/>
      </w:rPr>
    </w:lvl>
    <w:lvl w:ilvl="4" w:tplc="372600C8">
      <w:start w:val="1"/>
      <w:numFmt w:val="bullet"/>
      <w:lvlText w:val="o"/>
      <w:lvlJc w:val="left"/>
      <w:pPr>
        <w:ind w:left="3600" w:hanging="360"/>
      </w:pPr>
      <w:rPr>
        <w:rFonts w:ascii="Courier New" w:hAnsi="Courier New" w:hint="default"/>
      </w:rPr>
    </w:lvl>
    <w:lvl w:ilvl="5" w:tplc="77100CA0">
      <w:start w:val="1"/>
      <w:numFmt w:val="bullet"/>
      <w:lvlText w:val=""/>
      <w:lvlJc w:val="left"/>
      <w:pPr>
        <w:ind w:left="4320" w:hanging="360"/>
      </w:pPr>
      <w:rPr>
        <w:rFonts w:ascii="Wingdings" w:hAnsi="Wingdings" w:hint="default"/>
      </w:rPr>
    </w:lvl>
    <w:lvl w:ilvl="6" w:tplc="BC964D32">
      <w:start w:val="1"/>
      <w:numFmt w:val="bullet"/>
      <w:lvlText w:val=""/>
      <w:lvlJc w:val="left"/>
      <w:pPr>
        <w:ind w:left="5040" w:hanging="360"/>
      </w:pPr>
      <w:rPr>
        <w:rFonts w:ascii="Symbol" w:hAnsi="Symbol" w:hint="default"/>
      </w:rPr>
    </w:lvl>
    <w:lvl w:ilvl="7" w:tplc="FB069986">
      <w:start w:val="1"/>
      <w:numFmt w:val="bullet"/>
      <w:lvlText w:val="o"/>
      <w:lvlJc w:val="left"/>
      <w:pPr>
        <w:ind w:left="5760" w:hanging="360"/>
      </w:pPr>
      <w:rPr>
        <w:rFonts w:ascii="Courier New" w:hAnsi="Courier New" w:hint="default"/>
      </w:rPr>
    </w:lvl>
    <w:lvl w:ilvl="8" w:tplc="248C5614">
      <w:start w:val="1"/>
      <w:numFmt w:val="bullet"/>
      <w:lvlText w:val=""/>
      <w:lvlJc w:val="left"/>
      <w:pPr>
        <w:ind w:left="6480" w:hanging="360"/>
      </w:pPr>
      <w:rPr>
        <w:rFonts w:ascii="Wingdings" w:hAnsi="Wingdings" w:hint="default"/>
      </w:rPr>
    </w:lvl>
  </w:abstractNum>
  <w:abstractNum w:abstractNumId="7" w15:restartNumberingAfterBreak="0">
    <w:nsid w:val="1C3E4A87"/>
    <w:multiLevelType w:val="hybridMultilevel"/>
    <w:tmpl w:val="FFFFFFFF"/>
    <w:lvl w:ilvl="0" w:tplc="FB569FDE">
      <w:start w:val="1"/>
      <w:numFmt w:val="bullet"/>
      <w:lvlText w:val="-"/>
      <w:lvlJc w:val="left"/>
      <w:pPr>
        <w:ind w:left="720" w:hanging="360"/>
      </w:pPr>
      <w:rPr>
        <w:rFonts w:ascii="Aptos" w:hAnsi="Aptos" w:hint="default"/>
      </w:rPr>
    </w:lvl>
    <w:lvl w:ilvl="1" w:tplc="914ED916">
      <w:start w:val="1"/>
      <w:numFmt w:val="bullet"/>
      <w:lvlText w:val="o"/>
      <w:lvlJc w:val="left"/>
      <w:pPr>
        <w:ind w:left="1440" w:hanging="360"/>
      </w:pPr>
      <w:rPr>
        <w:rFonts w:ascii="Courier New" w:hAnsi="Courier New" w:hint="default"/>
      </w:rPr>
    </w:lvl>
    <w:lvl w:ilvl="2" w:tplc="CC2A0562">
      <w:start w:val="1"/>
      <w:numFmt w:val="bullet"/>
      <w:lvlText w:val=""/>
      <w:lvlJc w:val="left"/>
      <w:pPr>
        <w:ind w:left="2160" w:hanging="360"/>
      </w:pPr>
      <w:rPr>
        <w:rFonts w:ascii="Wingdings" w:hAnsi="Wingdings" w:hint="default"/>
      </w:rPr>
    </w:lvl>
    <w:lvl w:ilvl="3" w:tplc="022231C0">
      <w:start w:val="1"/>
      <w:numFmt w:val="bullet"/>
      <w:lvlText w:val=""/>
      <w:lvlJc w:val="left"/>
      <w:pPr>
        <w:ind w:left="2880" w:hanging="360"/>
      </w:pPr>
      <w:rPr>
        <w:rFonts w:ascii="Symbol" w:hAnsi="Symbol" w:hint="default"/>
      </w:rPr>
    </w:lvl>
    <w:lvl w:ilvl="4" w:tplc="1B40AE98">
      <w:start w:val="1"/>
      <w:numFmt w:val="bullet"/>
      <w:lvlText w:val="o"/>
      <w:lvlJc w:val="left"/>
      <w:pPr>
        <w:ind w:left="3600" w:hanging="360"/>
      </w:pPr>
      <w:rPr>
        <w:rFonts w:ascii="Courier New" w:hAnsi="Courier New" w:hint="default"/>
      </w:rPr>
    </w:lvl>
    <w:lvl w:ilvl="5" w:tplc="8BF01BA4">
      <w:start w:val="1"/>
      <w:numFmt w:val="bullet"/>
      <w:lvlText w:val=""/>
      <w:lvlJc w:val="left"/>
      <w:pPr>
        <w:ind w:left="4320" w:hanging="360"/>
      </w:pPr>
      <w:rPr>
        <w:rFonts w:ascii="Wingdings" w:hAnsi="Wingdings" w:hint="default"/>
      </w:rPr>
    </w:lvl>
    <w:lvl w:ilvl="6" w:tplc="CC6861B4">
      <w:start w:val="1"/>
      <w:numFmt w:val="bullet"/>
      <w:lvlText w:val=""/>
      <w:lvlJc w:val="left"/>
      <w:pPr>
        <w:ind w:left="5040" w:hanging="360"/>
      </w:pPr>
      <w:rPr>
        <w:rFonts w:ascii="Symbol" w:hAnsi="Symbol" w:hint="default"/>
      </w:rPr>
    </w:lvl>
    <w:lvl w:ilvl="7" w:tplc="8DAA2F90">
      <w:start w:val="1"/>
      <w:numFmt w:val="bullet"/>
      <w:lvlText w:val="o"/>
      <w:lvlJc w:val="left"/>
      <w:pPr>
        <w:ind w:left="5760" w:hanging="360"/>
      </w:pPr>
      <w:rPr>
        <w:rFonts w:ascii="Courier New" w:hAnsi="Courier New" w:hint="default"/>
      </w:rPr>
    </w:lvl>
    <w:lvl w:ilvl="8" w:tplc="093CA86A">
      <w:start w:val="1"/>
      <w:numFmt w:val="bullet"/>
      <w:lvlText w:val=""/>
      <w:lvlJc w:val="left"/>
      <w:pPr>
        <w:ind w:left="6480" w:hanging="360"/>
      </w:pPr>
      <w:rPr>
        <w:rFonts w:ascii="Wingdings" w:hAnsi="Wingdings" w:hint="default"/>
      </w:rPr>
    </w:lvl>
  </w:abstractNum>
  <w:abstractNum w:abstractNumId="8" w15:restartNumberingAfterBreak="0">
    <w:nsid w:val="1CAB740D"/>
    <w:multiLevelType w:val="hybridMultilevel"/>
    <w:tmpl w:val="B518E6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9C0F9C"/>
    <w:multiLevelType w:val="hybridMultilevel"/>
    <w:tmpl w:val="42B0D346"/>
    <w:lvl w:ilvl="0" w:tplc="CE0429D4">
      <w:start w:val="1"/>
      <w:numFmt w:val="decimal"/>
      <w:lvlText w:val="è"/>
      <w:lvlJc w:val="left"/>
      <w:pPr>
        <w:ind w:left="720" w:hanging="360"/>
      </w:pPr>
    </w:lvl>
    <w:lvl w:ilvl="1" w:tplc="17B283A4">
      <w:start w:val="1"/>
      <w:numFmt w:val="lowerLetter"/>
      <w:lvlText w:val="%2."/>
      <w:lvlJc w:val="left"/>
      <w:pPr>
        <w:ind w:left="1440" w:hanging="360"/>
      </w:pPr>
    </w:lvl>
    <w:lvl w:ilvl="2" w:tplc="9ED6FD6E">
      <w:start w:val="1"/>
      <w:numFmt w:val="lowerRoman"/>
      <w:lvlText w:val="%3."/>
      <w:lvlJc w:val="right"/>
      <w:pPr>
        <w:ind w:left="2160" w:hanging="180"/>
      </w:pPr>
    </w:lvl>
    <w:lvl w:ilvl="3" w:tplc="EBE655EC">
      <w:start w:val="1"/>
      <w:numFmt w:val="decimal"/>
      <w:lvlText w:val="%4."/>
      <w:lvlJc w:val="left"/>
      <w:pPr>
        <w:ind w:left="2880" w:hanging="360"/>
      </w:pPr>
    </w:lvl>
    <w:lvl w:ilvl="4" w:tplc="C890B346">
      <w:start w:val="1"/>
      <w:numFmt w:val="lowerLetter"/>
      <w:lvlText w:val="%5."/>
      <w:lvlJc w:val="left"/>
      <w:pPr>
        <w:ind w:left="3600" w:hanging="360"/>
      </w:pPr>
    </w:lvl>
    <w:lvl w:ilvl="5" w:tplc="3A068704">
      <w:start w:val="1"/>
      <w:numFmt w:val="lowerRoman"/>
      <w:lvlText w:val="%6."/>
      <w:lvlJc w:val="right"/>
      <w:pPr>
        <w:ind w:left="4320" w:hanging="180"/>
      </w:pPr>
    </w:lvl>
    <w:lvl w:ilvl="6" w:tplc="1BB2E4FA">
      <w:start w:val="1"/>
      <w:numFmt w:val="decimal"/>
      <w:lvlText w:val="%7."/>
      <w:lvlJc w:val="left"/>
      <w:pPr>
        <w:ind w:left="5040" w:hanging="360"/>
      </w:pPr>
    </w:lvl>
    <w:lvl w:ilvl="7" w:tplc="FC92F438">
      <w:start w:val="1"/>
      <w:numFmt w:val="lowerLetter"/>
      <w:lvlText w:val="%8."/>
      <w:lvlJc w:val="left"/>
      <w:pPr>
        <w:ind w:left="5760" w:hanging="360"/>
      </w:pPr>
    </w:lvl>
    <w:lvl w:ilvl="8" w:tplc="C1BA81B8">
      <w:start w:val="1"/>
      <w:numFmt w:val="lowerRoman"/>
      <w:lvlText w:val="%9."/>
      <w:lvlJc w:val="right"/>
      <w:pPr>
        <w:ind w:left="6480" w:hanging="180"/>
      </w:pPr>
    </w:lvl>
  </w:abstractNum>
  <w:abstractNum w:abstractNumId="10" w15:restartNumberingAfterBreak="0">
    <w:nsid w:val="236809B6"/>
    <w:multiLevelType w:val="hybridMultilevel"/>
    <w:tmpl w:val="95C89E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EE3889"/>
    <w:multiLevelType w:val="hybridMultilevel"/>
    <w:tmpl w:val="31C6EFAE"/>
    <w:lvl w:ilvl="0" w:tplc="0809000F">
      <w:start w:val="1"/>
      <w:numFmt w:val="decimal"/>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F50582"/>
    <w:multiLevelType w:val="multilevel"/>
    <w:tmpl w:val="FB80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2840A2"/>
    <w:multiLevelType w:val="hybridMultilevel"/>
    <w:tmpl w:val="FFFFFFFF"/>
    <w:lvl w:ilvl="0" w:tplc="D912126C">
      <w:start w:val="1"/>
      <w:numFmt w:val="bullet"/>
      <w:lvlText w:val="-"/>
      <w:lvlJc w:val="left"/>
      <w:pPr>
        <w:ind w:left="720" w:hanging="360"/>
      </w:pPr>
      <w:rPr>
        <w:rFonts w:ascii="Aptos" w:hAnsi="Aptos" w:hint="default"/>
      </w:rPr>
    </w:lvl>
    <w:lvl w:ilvl="1" w:tplc="3F5C20CC">
      <w:start w:val="1"/>
      <w:numFmt w:val="bullet"/>
      <w:lvlText w:val="o"/>
      <w:lvlJc w:val="left"/>
      <w:pPr>
        <w:ind w:left="1440" w:hanging="360"/>
      </w:pPr>
      <w:rPr>
        <w:rFonts w:ascii="Courier New" w:hAnsi="Courier New" w:hint="default"/>
      </w:rPr>
    </w:lvl>
    <w:lvl w:ilvl="2" w:tplc="A8CC136E">
      <w:start w:val="1"/>
      <w:numFmt w:val="bullet"/>
      <w:lvlText w:val=""/>
      <w:lvlJc w:val="left"/>
      <w:pPr>
        <w:ind w:left="2160" w:hanging="360"/>
      </w:pPr>
      <w:rPr>
        <w:rFonts w:ascii="Wingdings" w:hAnsi="Wingdings" w:hint="default"/>
      </w:rPr>
    </w:lvl>
    <w:lvl w:ilvl="3" w:tplc="E968F494">
      <w:start w:val="1"/>
      <w:numFmt w:val="bullet"/>
      <w:lvlText w:val=""/>
      <w:lvlJc w:val="left"/>
      <w:pPr>
        <w:ind w:left="2880" w:hanging="360"/>
      </w:pPr>
      <w:rPr>
        <w:rFonts w:ascii="Symbol" w:hAnsi="Symbol" w:hint="default"/>
      </w:rPr>
    </w:lvl>
    <w:lvl w:ilvl="4" w:tplc="55B0BADC">
      <w:start w:val="1"/>
      <w:numFmt w:val="bullet"/>
      <w:lvlText w:val="o"/>
      <w:lvlJc w:val="left"/>
      <w:pPr>
        <w:ind w:left="3600" w:hanging="360"/>
      </w:pPr>
      <w:rPr>
        <w:rFonts w:ascii="Courier New" w:hAnsi="Courier New" w:hint="default"/>
      </w:rPr>
    </w:lvl>
    <w:lvl w:ilvl="5" w:tplc="424A98D8">
      <w:start w:val="1"/>
      <w:numFmt w:val="bullet"/>
      <w:lvlText w:val=""/>
      <w:lvlJc w:val="left"/>
      <w:pPr>
        <w:ind w:left="4320" w:hanging="360"/>
      </w:pPr>
      <w:rPr>
        <w:rFonts w:ascii="Wingdings" w:hAnsi="Wingdings" w:hint="default"/>
      </w:rPr>
    </w:lvl>
    <w:lvl w:ilvl="6" w:tplc="11A66FE6">
      <w:start w:val="1"/>
      <w:numFmt w:val="bullet"/>
      <w:lvlText w:val=""/>
      <w:lvlJc w:val="left"/>
      <w:pPr>
        <w:ind w:left="5040" w:hanging="360"/>
      </w:pPr>
      <w:rPr>
        <w:rFonts w:ascii="Symbol" w:hAnsi="Symbol" w:hint="default"/>
      </w:rPr>
    </w:lvl>
    <w:lvl w:ilvl="7" w:tplc="25F8F606">
      <w:start w:val="1"/>
      <w:numFmt w:val="bullet"/>
      <w:lvlText w:val="o"/>
      <w:lvlJc w:val="left"/>
      <w:pPr>
        <w:ind w:left="5760" w:hanging="360"/>
      </w:pPr>
      <w:rPr>
        <w:rFonts w:ascii="Courier New" w:hAnsi="Courier New" w:hint="default"/>
      </w:rPr>
    </w:lvl>
    <w:lvl w:ilvl="8" w:tplc="DE723F96">
      <w:start w:val="1"/>
      <w:numFmt w:val="bullet"/>
      <w:lvlText w:val=""/>
      <w:lvlJc w:val="left"/>
      <w:pPr>
        <w:ind w:left="6480" w:hanging="360"/>
      </w:pPr>
      <w:rPr>
        <w:rFonts w:ascii="Wingdings" w:hAnsi="Wingdings" w:hint="default"/>
      </w:rPr>
    </w:lvl>
  </w:abstractNum>
  <w:abstractNum w:abstractNumId="14" w15:restartNumberingAfterBreak="0">
    <w:nsid w:val="36EA6CC7"/>
    <w:multiLevelType w:val="hybridMultilevel"/>
    <w:tmpl w:val="B8506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FA6521"/>
    <w:multiLevelType w:val="hybridMultilevel"/>
    <w:tmpl w:val="437C7D8E"/>
    <w:lvl w:ilvl="0" w:tplc="9E1C23EA">
      <w:start w:val="1"/>
      <w:numFmt w:val="decimal"/>
      <w:lvlText w:val="%1."/>
      <w:lvlJc w:val="left"/>
      <w:pPr>
        <w:ind w:left="720" w:hanging="360"/>
      </w:pPr>
      <w:rPr>
        <w:rFonts w:cs="Consolas" w:hint="default"/>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A4CD7E"/>
    <w:multiLevelType w:val="hybridMultilevel"/>
    <w:tmpl w:val="FFFFFFFF"/>
    <w:lvl w:ilvl="0" w:tplc="131A212A">
      <w:start w:val="1"/>
      <w:numFmt w:val="decimal"/>
      <w:lvlText w:val="%1."/>
      <w:lvlJc w:val="left"/>
      <w:pPr>
        <w:ind w:left="720" w:hanging="360"/>
      </w:pPr>
    </w:lvl>
    <w:lvl w:ilvl="1" w:tplc="D1CC0BF0">
      <w:start w:val="1"/>
      <w:numFmt w:val="lowerLetter"/>
      <w:lvlText w:val="%2."/>
      <w:lvlJc w:val="left"/>
      <w:pPr>
        <w:ind w:left="1440" w:hanging="360"/>
      </w:pPr>
    </w:lvl>
    <w:lvl w:ilvl="2" w:tplc="6F767EA8">
      <w:start w:val="1"/>
      <w:numFmt w:val="lowerRoman"/>
      <w:lvlText w:val="%3."/>
      <w:lvlJc w:val="right"/>
      <w:pPr>
        <w:ind w:left="2160" w:hanging="180"/>
      </w:pPr>
    </w:lvl>
    <w:lvl w:ilvl="3" w:tplc="528E77AA">
      <w:start w:val="1"/>
      <w:numFmt w:val="decimal"/>
      <w:lvlText w:val="%4."/>
      <w:lvlJc w:val="left"/>
      <w:pPr>
        <w:ind w:left="2880" w:hanging="360"/>
      </w:pPr>
    </w:lvl>
    <w:lvl w:ilvl="4" w:tplc="1F22BF74">
      <w:start w:val="1"/>
      <w:numFmt w:val="lowerLetter"/>
      <w:lvlText w:val="%5."/>
      <w:lvlJc w:val="left"/>
      <w:pPr>
        <w:ind w:left="3600" w:hanging="360"/>
      </w:pPr>
    </w:lvl>
    <w:lvl w:ilvl="5" w:tplc="4D341582">
      <w:start w:val="1"/>
      <w:numFmt w:val="lowerRoman"/>
      <w:lvlText w:val="%6."/>
      <w:lvlJc w:val="right"/>
      <w:pPr>
        <w:ind w:left="4320" w:hanging="180"/>
      </w:pPr>
    </w:lvl>
    <w:lvl w:ilvl="6" w:tplc="7500FA66">
      <w:start w:val="1"/>
      <w:numFmt w:val="decimal"/>
      <w:lvlText w:val="%7."/>
      <w:lvlJc w:val="left"/>
      <w:pPr>
        <w:ind w:left="5040" w:hanging="360"/>
      </w:pPr>
    </w:lvl>
    <w:lvl w:ilvl="7" w:tplc="D7EADD70">
      <w:start w:val="1"/>
      <w:numFmt w:val="lowerLetter"/>
      <w:lvlText w:val="%8."/>
      <w:lvlJc w:val="left"/>
      <w:pPr>
        <w:ind w:left="5760" w:hanging="360"/>
      </w:pPr>
    </w:lvl>
    <w:lvl w:ilvl="8" w:tplc="BC6AABC2">
      <w:start w:val="1"/>
      <w:numFmt w:val="lowerRoman"/>
      <w:lvlText w:val="%9."/>
      <w:lvlJc w:val="right"/>
      <w:pPr>
        <w:ind w:left="6480" w:hanging="180"/>
      </w:pPr>
    </w:lvl>
  </w:abstractNum>
  <w:abstractNum w:abstractNumId="17" w15:restartNumberingAfterBreak="0">
    <w:nsid w:val="4BF89191"/>
    <w:multiLevelType w:val="hybridMultilevel"/>
    <w:tmpl w:val="FFFFFFFF"/>
    <w:lvl w:ilvl="0" w:tplc="CA76C106">
      <w:start w:val="1"/>
      <w:numFmt w:val="bullet"/>
      <w:lvlText w:val=""/>
      <w:lvlJc w:val="left"/>
      <w:pPr>
        <w:ind w:left="720" w:hanging="360"/>
      </w:pPr>
      <w:rPr>
        <w:rFonts w:ascii="Symbol" w:hAnsi="Symbol" w:hint="default"/>
      </w:rPr>
    </w:lvl>
    <w:lvl w:ilvl="1" w:tplc="7544377C">
      <w:start w:val="1"/>
      <w:numFmt w:val="bullet"/>
      <w:lvlText w:val="o"/>
      <w:lvlJc w:val="left"/>
      <w:pPr>
        <w:ind w:left="1440" w:hanging="360"/>
      </w:pPr>
      <w:rPr>
        <w:rFonts w:ascii="Courier New" w:hAnsi="Courier New" w:hint="default"/>
      </w:rPr>
    </w:lvl>
    <w:lvl w:ilvl="2" w:tplc="D994ABE6">
      <w:start w:val="1"/>
      <w:numFmt w:val="bullet"/>
      <w:lvlText w:val=""/>
      <w:lvlJc w:val="left"/>
      <w:pPr>
        <w:ind w:left="2160" w:hanging="360"/>
      </w:pPr>
      <w:rPr>
        <w:rFonts w:ascii="Wingdings" w:hAnsi="Wingdings" w:hint="default"/>
      </w:rPr>
    </w:lvl>
    <w:lvl w:ilvl="3" w:tplc="0DDAA150">
      <w:start w:val="1"/>
      <w:numFmt w:val="bullet"/>
      <w:lvlText w:val=""/>
      <w:lvlJc w:val="left"/>
      <w:pPr>
        <w:ind w:left="2880" w:hanging="360"/>
      </w:pPr>
      <w:rPr>
        <w:rFonts w:ascii="Symbol" w:hAnsi="Symbol" w:hint="default"/>
      </w:rPr>
    </w:lvl>
    <w:lvl w:ilvl="4" w:tplc="FEB88414">
      <w:start w:val="1"/>
      <w:numFmt w:val="bullet"/>
      <w:lvlText w:val="o"/>
      <w:lvlJc w:val="left"/>
      <w:pPr>
        <w:ind w:left="3600" w:hanging="360"/>
      </w:pPr>
      <w:rPr>
        <w:rFonts w:ascii="Courier New" w:hAnsi="Courier New" w:hint="default"/>
      </w:rPr>
    </w:lvl>
    <w:lvl w:ilvl="5" w:tplc="6A301DDA">
      <w:start w:val="1"/>
      <w:numFmt w:val="bullet"/>
      <w:lvlText w:val=""/>
      <w:lvlJc w:val="left"/>
      <w:pPr>
        <w:ind w:left="4320" w:hanging="360"/>
      </w:pPr>
      <w:rPr>
        <w:rFonts w:ascii="Wingdings" w:hAnsi="Wingdings" w:hint="default"/>
      </w:rPr>
    </w:lvl>
    <w:lvl w:ilvl="6" w:tplc="855EDF8A">
      <w:start w:val="1"/>
      <w:numFmt w:val="bullet"/>
      <w:lvlText w:val=""/>
      <w:lvlJc w:val="left"/>
      <w:pPr>
        <w:ind w:left="5040" w:hanging="360"/>
      </w:pPr>
      <w:rPr>
        <w:rFonts w:ascii="Symbol" w:hAnsi="Symbol" w:hint="default"/>
      </w:rPr>
    </w:lvl>
    <w:lvl w:ilvl="7" w:tplc="712659CA">
      <w:start w:val="1"/>
      <w:numFmt w:val="bullet"/>
      <w:lvlText w:val="o"/>
      <w:lvlJc w:val="left"/>
      <w:pPr>
        <w:ind w:left="5760" w:hanging="360"/>
      </w:pPr>
      <w:rPr>
        <w:rFonts w:ascii="Courier New" w:hAnsi="Courier New" w:hint="default"/>
      </w:rPr>
    </w:lvl>
    <w:lvl w:ilvl="8" w:tplc="37ECDC30">
      <w:start w:val="1"/>
      <w:numFmt w:val="bullet"/>
      <w:lvlText w:val=""/>
      <w:lvlJc w:val="left"/>
      <w:pPr>
        <w:ind w:left="6480" w:hanging="360"/>
      </w:pPr>
      <w:rPr>
        <w:rFonts w:ascii="Wingdings" w:hAnsi="Wingdings" w:hint="default"/>
      </w:rPr>
    </w:lvl>
  </w:abstractNum>
  <w:abstractNum w:abstractNumId="18" w15:restartNumberingAfterBreak="0">
    <w:nsid w:val="4D59E9B4"/>
    <w:multiLevelType w:val="hybridMultilevel"/>
    <w:tmpl w:val="FFFFFFFF"/>
    <w:lvl w:ilvl="0" w:tplc="76761B34">
      <w:start w:val="1"/>
      <w:numFmt w:val="decimal"/>
      <w:lvlText w:val="%1."/>
      <w:lvlJc w:val="left"/>
      <w:pPr>
        <w:ind w:left="720" w:hanging="360"/>
      </w:pPr>
    </w:lvl>
    <w:lvl w:ilvl="1" w:tplc="0D5E4F5C">
      <w:start w:val="1"/>
      <w:numFmt w:val="lowerLetter"/>
      <w:lvlText w:val="%2."/>
      <w:lvlJc w:val="left"/>
      <w:pPr>
        <w:ind w:left="1440" w:hanging="360"/>
      </w:pPr>
    </w:lvl>
    <w:lvl w:ilvl="2" w:tplc="EE166024">
      <w:start w:val="1"/>
      <w:numFmt w:val="lowerRoman"/>
      <w:lvlText w:val="%3."/>
      <w:lvlJc w:val="right"/>
      <w:pPr>
        <w:ind w:left="2160" w:hanging="180"/>
      </w:pPr>
    </w:lvl>
    <w:lvl w:ilvl="3" w:tplc="DDACA2EA">
      <w:start w:val="1"/>
      <w:numFmt w:val="decimal"/>
      <w:lvlText w:val="%4."/>
      <w:lvlJc w:val="left"/>
      <w:pPr>
        <w:ind w:left="2880" w:hanging="360"/>
      </w:pPr>
    </w:lvl>
    <w:lvl w:ilvl="4" w:tplc="523C558E">
      <w:start w:val="1"/>
      <w:numFmt w:val="lowerLetter"/>
      <w:lvlText w:val="%5."/>
      <w:lvlJc w:val="left"/>
      <w:pPr>
        <w:ind w:left="3600" w:hanging="360"/>
      </w:pPr>
    </w:lvl>
    <w:lvl w:ilvl="5" w:tplc="B1B87232">
      <w:start w:val="1"/>
      <w:numFmt w:val="lowerRoman"/>
      <w:lvlText w:val="%6."/>
      <w:lvlJc w:val="right"/>
      <w:pPr>
        <w:ind w:left="4320" w:hanging="180"/>
      </w:pPr>
    </w:lvl>
    <w:lvl w:ilvl="6" w:tplc="6406D90E">
      <w:start w:val="1"/>
      <w:numFmt w:val="decimal"/>
      <w:lvlText w:val="%7."/>
      <w:lvlJc w:val="left"/>
      <w:pPr>
        <w:ind w:left="5040" w:hanging="360"/>
      </w:pPr>
    </w:lvl>
    <w:lvl w:ilvl="7" w:tplc="B1A0B572">
      <w:start w:val="1"/>
      <w:numFmt w:val="lowerLetter"/>
      <w:lvlText w:val="%8."/>
      <w:lvlJc w:val="left"/>
      <w:pPr>
        <w:ind w:left="5760" w:hanging="360"/>
      </w:pPr>
    </w:lvl>
    <w:lvl w:ilvl="8" w:tplc="8D56883E">
      <w:start w:val="1"/>
      <w:numFmt w:val="lowerRoman"/>
      <w:lvlText w:val="%9."/>
      <w:lvlJc w:val="right"/>
      <w:pPr>
        <w:ind w:left="6480" w:hanging="180"/>
      </w:pPr>
    </w:lvl>
  </w:abstractNum>
  <w:abstractNum w:abstractNumId="19" w15:restartNumberingAfterBreak="0">
    <w:nsid w:val="56AF4194"/>
    <w:multiLevelType w:val="hybridMultilevel"/>
    <w:tmpl w:val="FFFFFFFF"/>
    <w:lvl w:ilvl="0" w:tplc="378A3388">
      <w:start w:val="1"/>
      <w:numFmt w:val="bullet"/>
      <w:lvlText w:val="-"/>
      <w:lvlJc w:val="left"/>
      <w:pPr>
        <w:ind w:left="720" w:hanging="360"/>
      </w:pPr>
      <w:rPr>
        <w:rFonts w:ascii="Aptos" w:hAnsi="Aptos" w:hint="default"/>
      </w:rPr>
    </w:lvl>
    <w:lvl w:ilvl="1" w:tplc="371CBEF0">
      <w:start w:val="1"/>
      <w:numFmt w:val="bullet"/>
      <w:lvlText w:val="o"/>
      <w:lvlJc w:val="left"/>
      <w:pPr>
        <w:ind w:left="1440" w:hanging="360"/>
      </w:pPr>
      <w:rPr>
        <w:rFonts w:ascii="Courier New" w:hAnsi="Courier New" w:hint="default"/>
      </w:rPr>
    </w:lvl>
    <w:lvl w:ilvl="2" w:tplc="8ADC9634">
      <w:start w:val="1"/>
      <w:numFmt w:val="bullet"/>
      <w:lvlText w:val=""/>
      <w:lvlJc w:val="left"/>
      <w:pPr>
        <w:ind w:left="2160" w:hanging="360"/>
      </w:pPr>
      <w:rPr>
        <w:rFonts w:ascii="Wingdings" w:hAnsi="Wingdings" w:hint="default"/>
      </w:rPr>
    </w:lvl>
    <w:lvl w:ilvl="3" w:tplc="C0647110">
      <w:start w:val="1"/>
      <w:numFmt w:val="bullet"/>
      <w:lvlText w:val=""/>
      <w:lvlJc w:val="left"/>
      <w:pPr>
        <w:ind w:left="2880" w:hanging="360"/>
      </w:pPr>
      <w:rPr>
        <w:rFonts w:ascii="Symbol" w:hAnsi="Symbol" w:hint="default"/>
      </w:rPr>
    </w:lvl>
    <w:lvl w:ilvl="4" w:tplc="DF2C4C88">
      <w:start w:val="1"/>
      <w:numFmt w:val="bullet"/>
      <w:lvlText w:val="o"/>
      <w:lvlJc w:val="left"/>
      <w:pPr>
        <w:ind w:left="3600" w:hanging="360"/>
      </w:pPr>
      <w:rPr>
        <w:rFonts w:ascii="Courier New" w:hAnsi="Courier New" w:hint="default"/>
      </w:rPr>
    </w:lvl>
    <w:lvl w:ilvl="5" w:tplc="70C017E0">
      <w:start w:val="1"/>
      <w:numFmt w:val="bullet"/>
      <w:lvlText w:val=""/>
      <w:lvlJc w:val="left"/>
      <w:pPr>
        <w:ind w:left="4320" w:hanging="360"/>
      </w:pPr>
      <w:rPr>
        <w:rFonts w:ascii="Wingdings" w:hAnsi="Wingdings" w:hint="default"/>
      </w:rPr>
    </w:lvl>
    <w:lvl w:ilvl="6" w:tplc="641AC9A0">
      <w:start w:val="1"/>
      <w:numFmt w:val="bullet"/>
      <w:lvlText w:val=""/>
      <w:lvlJc w:val="left"/>
      <w:pPr>
        <w:ind w:left="5040" w:hanging="360"/>
      </w:pPr>
      <w:rPr>
        <w:rFonts w:ascii="Symbol" w:hAnsi="Symbol" w:hint="default"/>
      </w:rPr>
    </w:lvl>
    <w:lvl w:ilvl="7" w:tplc="B99E67CA">
      <w:start w:val="1"/>
      <w:numFmt w:val="bullet"/>
      <w:lvlText w:val="o"/>
      <w:lvlJc w:val="left"/>
      <w:pPr>
        <w:ind w:left="5760" w:hanging="360"/>
      </w:pPr>
      <w:rPr>
        <w:rFonts w:ascii="Courier New" w:hAnsi="Courier New" w:hint="default"/>
      </w:rPr>
    </w:lvl>
    <w:lvl w:ilvl="8" w:tplc="4F028350">
      <w:start w:val="1"/>
      <w:numFmt w:val="bullet"/>
      <w:lvlText w:val=""/>
      <w:lvlJc w:val="left"/>
      <w:pPr>
        <w:ind w:left="6480" w:hanging="360"/>
      </w:pPr>
      <w:rPr>
        <w:rFonts w:ascii="Wingdings" w:hAnsi="Wingdings" w:hint="default"/>
      </w:rPr>
    </w:lvl>
  </w:abstractNum>
  <w:abstractNum w:abstractNumId="20" w15:restartNumberingAfterBreak="0">
    <w:nsid w:val="572E3639"/>
    <w:multiLevelType w:val="hybridMultilevel"/>
    <w:tmpl w:val="5FD8698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F632F1"/>
    <w:multiLevelType w:val="hybridMultilevel"/>
    <w:tmpl w:val="FF4E11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E3D0305"/>
    <w:multiLevelType w:val="hybridMultilevel"/>
    <w:tmpl w:val="E9867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DCD588"/>
    <w:multiLevelType w:val="hybridMultilevel"/>
    <w:tmpl w:val="FFFFFFFF"/>
    <w:lvl w:ilvl="0" w:tplc="B40E09D4">
      <w:start w:val="1"/>
      <w:numFmt w:val="bullet"/>
      <w:lvlText w:val="-"/>
      <w:lvlJc w:val="left"/>
      <w:pPr>
        <w:ind w:left="720" w:hanging="360"/>
      </w:pPr>
      <w:rPr>
        <w:rFonts w:ascii="Aptos" w:hAnsi="Aptos" w:hint="default"/>
      </w:rPr>
    </w:lvl>
    <w:lvl w:ilvl="1" w:tplc="5776C6E6">
      <w:start w:val="1"/>
      <w:numFmt w:val="bullet"/>
      <w:lvlText w:val="o"/>
      <w:lvlJc w:val="left"/>
      <w:pPr>
        <w:ind w:left="1440" w:hanging="360"/>
      </w:pPr>
      <w:rPr>
        <w:rFonts w:ascii="Courier New" w:hAnsi="Courier New" w:hint="default"/>
      </w:rPr>
    </w:lvl>
    <w:lvl w:ilvl="2" w:tplc="E7D8EFC2">
      <w:start w:val="1"/>
      <w:numFmt w:val="bullet"/>
      <w:lvlText w:val=""/>
      <w:lvlJc w:val="left"/>
      <w:pPr>
        <w:ind w:left="2160" w:hanging="360"/>
      </w:pPr>
      <w:rPr>
        <w:rFonts w:ascii="Wingdings" w:hAnsi="Wingdings" w:hint="default"/>
      </w:rPr>
    </w:lvl>
    <w:lvl w:ilvl="3" w:tplc="76505682">
      <w:start w:val="1"/>
      <w:numFmt w:val="bullet"/>
      <w:lvlText w:val=""/>
      <w:lvlJc w:val="left"/>
      <w:pPr>
        <w:ind w:left="2880" w:hanging="360"/>
      </w:pPr>
      <w:rPr>
        <w:rFonts w:ascii="Symbol" w:hAnsi="Symbol" w:hint="default"/>
      </w:rPr>
    </w:lvl>
    <w:lvl w:ilvl="4" w:tplc="43384152">
      <w:start w:val="1"/>
      <w:numFmt w:val="bullet"/>
      <w:lvlText w:val="o"/>
      <w:lvlJc w:val="left"/>
      <w:pPr>
        <w:ind w:left="3600" w:hanging="360"/>
      </w:pPr>
      <w:rPr>
        <w:rFonts w:ascii="Courier New" w:hAnsi="Courier New" w:hint="default"/>
      </w:rPr>
    </w:lvl>
    <w:lvl w:ilvl="5" w:tplc="66044852">
      <w:start w:val="1"/>
      <w:numFmt w:val="bullet"/>
      <w:lvlText w:val=""/>
      <w:lvlJc w:val="left"/>
      <w:pPr>
        <w:ind w:left="4320" w:hanging="360"/>
      </w:pPr>
      <w:rPr>
        <w:rFonts w:ascii="Wingdings" w:hAnsi="Wingdings" w:hint="default"/>
      </w:rPr>
    </w:lvl>
    <w:lvl w:ilvl="6" w:tplc="CFC662CA">
      <w:start w:val="1"/>
      <w:numFmt w:val="bullet"/>
      <w:lvlText w:val=""/>
      <w:lvlJc w:val="left"/>
      <w:pPr>
        <w:ind w:left="5040" w:hanging="360"/>
      </w:pPr>
      <w:rPr>
        <w:rFonts w:ascii="Symbol" w:hAnsi="Symbol" w:hint="default"/>
      </w:rPr>
    </w:lvl>
    <w:lvl w:ilvl="7" w:tplc="64B25D16">
      <w:start w:val="1"/>
      <w:numFmt w:val="bullet"/>
      <w:lvlText w:val="o"/>
      <w:lvlJc w:val="left"/>
      <w:pPr>
        <w:ind w:left="5760" w:hanging="360"/>
      </w:pPr>
      <w:rPr>
        <w:rFonts w:ascii="Courier New" w:hAnsi="Courier New" w:hint="default"/>
      </w:rPr>
    </w:lvl>
    <w:lvl w:ilvl="8" w:tplc="98848B86">
      <w:start w:val="1"/>
      <w:numFmt w:val="bullet"/>
      <w:lvlText w:val=""/>
      <w:lvlJc w:val="left"/>
      <w:pPr>
        <w:ind w:left="6480" w:hanging="360"/>
      </w:pPr>
      <w:rPr>
        <w:rFonts w:ascii="Wingdings" w:hAnsi="Wingdings" w:hint="default"/>
      </w:rPr>
    </w:lvl>
  </w:abstractNum>
  <w:abstractNum w:abstractNumId="24" w15:restartNumberingAfterBreak="0">
    <w:nsid w:val="665642DE"/>
    <w:multiLevelType w:val="hybridMultilevel"/>
    <w:tmpl w:val="FFFFFFFF"/>
    <w:lvl w:ilvl="0" w:tplc="B8CE6F08">
      <w:start w:val="1"/>
      <w:numFmt w:val="bullet"/>
      <w:lvlText w:val="-"/>
      <w:lvlJc w:val="left"/>
      <w:pPr>
        <w:ind w:left="720" w:hanging="360"/>
      </w:pPr>
      <w:rPr>
        <w:rFonts w:ascii="Aptos" w:hAnsi="Aptos" w:hint="default"/>
      </w:rPr>
    </w:lvl>
    <w:lvl w:ilvl="1" w:tplc="F4C85426">
      <w:start w:val="1"/>
      <w:numFmt w:val="bullet"/>
      <w:lvlText w:val="o"/>
      <w:lvlJc w:val="left"/>
      <w:pPr>
        <w:ind w:left="1440" w:hanging="360"/>
      </w:pPr>
      <w:rPr>
        <w:rFonts w:ascii="Courier New" w:hAnsi="Courier New" w:hint="default"/>
      </w:rPr>
    </w:lvl>
    <w:lvl w:ilvl="2" w:tplc="9D52D122">
      <w:start w:val="1"/>
      <w:numFmt w:val="bullet"/>
      <w:lvlText w:val=""/>
      <w:lvlJc w:val="left"/>
      <w:pPr>
        <w:ind w:left="2160" w:hanging="360"/>
      </w:pPr>
      <w:rPr>
        <w:rFonts w:ascii="Wingdings" w:hAnsi="Wingdings" w:hint="default"/>
      </w:rPr>
    </w:lvl>
    <w:lvl w:ilvl="3" w:tplc="B3B0D6E8">
      <w:start w:val="1"/>
      <w:numFmt w:val="bullet"/>
      <w:lvlText w:val=""/>
      <w:lvlJc w:val="left"/>
      <w:pPr>
        <w:ind w:left="2880" w:hanging="360"/>
      </w:pPr>
      <w:rPr>
        <w:rFonts w:ascii="Symbol" w:hAnsi="Symbol" w:hint="default"/>
      </w:rPr>
    </w:lvl>
    <w:lvl w:ilvl="4" w:tplc="2AEE4622">
      <w:start w:val="1"/>
      <w:numFmt w:val="bullet"/>
      <w:lvlText w:val="o"/>
      <w:lvlJc w:val="left"/>
      <w:pPr>
        <w:ind w:left="3600" w:hanging="360"/>
      </w:pPr>
      <w:rPr>
        <w:rFonts w:ascii="Courier New" w:hAnsi="Courier New" w:hint="default"/>
      </w:rPr>
    </w:lvl>
    <w:lvl w:ilvl="5" w:tplc="1DDA8DFA">
      <w:start w:val="1"/>
      <w:numFmt w:val="bullet"/>
      <w:lvlText w:val=""/>
      <w:lvlJc w:val="left"/>
      <w:pPr>
        <w:ind w:left="4320" w:hanging="360"/>
      </w:pPr>
      <w:rPr>
        <w:rFonts w:ascii="Wingdings" w:hAnsi="Wingdings" w:hint="default"/>
      </w:rPr>
    </w:lvl>
    <w:lvl w:ilvl="6" w:tplc="2EEC77DE">
      <w:start w:val="1"/>
      <w:numFmt w:val="bullet"/>
      <w:lvlText w:val=""/>
      <w:lvlJc w:val="left"/>
      <w:pPr>
        <w:ind w:left="5040" w:hanging="360"/>
      </w:pPr>
      <w:rPr>
        <w:rFonts w:ascii="Symbol" w:hAnsi="Symbol" w:hint="default"/>
      </w:rPr>
    </w:lvl>
    <w:lvl w:ilvl="7" w:tplc="EF705818">
      <w:start w:val="1"/>
      <w:numFmt w:val="bullet"/>
      <w:lvlText w:val="o"/>
      <w:lvlJc w:val="left"/>
      <w:pPr>
        <w:ind w:left="5760" w:hanging="360"/>
      </w:pPr>
      <w:rPr>
        <w:rFonts w:ascii="Courier New" w:hAnsi="Courier New" w:hint="default"/>
      </w:rPr>
    </w:lvl>
    <w:lvl w:ilvl="8" w:tplc="EAA8AFA8">
      <w:start w:val="1"/>
      <w:numFmt w:val="bullet"/>
      <w:lvlText w:val=""/>
      <w:lvlJc w:val="left"/>
      <w:pPr>
        <w:ind w:left="6480" w:hanging="360"/>
      </w:pPr>
      <w:rPr>
        <w:rFonts w:ascii="Wingdings" w:hAnsi="Wingdings" w:hint="default"/>
      </w:rPr>
    </w:lvl>
  </w:abstractNum>
  <w:abstractNum w:abstractNumId="25" w15:restartNumberingAfterBreak="0">
    <w:nsid w:val="67B303DE"/>
    <w:multiLevelType w:val="hybridMultilevel"/>
    <w:tmpl w:val="7740479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2AB4E02"/>
    <w:multiLevelType w:val="multilevel"/>
    <w:tmpl w:val="BDA62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E05CCB"/>
    <w:multiLevelType w:val="hybridMultilevel"/>
    <w:tmpl w:val="31D4EC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7751B92"/>
    <w:multiLevelType w:val="hybridMultilevel"/>
    <w:tmpl w:val="2B2A3E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9A1F11"/>
    <w:multiLevelType w:val="hybridMultilevel"/>
    <w:tmpl w:val="104EC9B4"/>
    <w:lvl w:ilvl="0" w:tplc="7EA03C26">
      <w:start w:val="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B66058"/>
    <w:multiLevelType w:val="hybridMultilevel"/>
    <w:tmpl w:val="BA0625E4"/>
    <w:lvl w:ilvl="0" w:tplc="D9ECDC58">
      <w:start w:val="1"/>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F9743F"/>
    <w:multiLevelType w:val="hybridMultilevel"/>
    <w:tmpl w:val="9D72CE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0B2B89"/>
    <w:multiLevelType w:val="multilevel"/>
    <w:tmpl w:val="ADA0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204771"/>
    <w:multiLevelType w:val="hybridMultilevel"/>
    <w:tmpl w:val="B1D00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F8D0DFE"/>
    <w:multiLevelType w:val="multilevel"/>
    <w:tmpl w:val="143A3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1047831">
    <w:abstractNumId w:val="1"/>
  </w:num>
  <w:num w:numId="2" w16cid:durableId="1747071666">
    <w:abstractNumId w:val="9"/>
  </w:num>
  <w:num w:numId="3" w16cid:durableId="1771002398">
    <w:abstractNumId w:val="6"/>
  </w:num>
  <w:num w:numId="4" w16cid:durableId="403990506">
    <w:abstractNumId w:val="19"/>
  </w:num>
  <w:num w:numId="5" w16cid:durableId="1783914798">
    <w:abstractNumId w:val="16"/>
  </w:num>
  <w:num w:numId="6" w16cid:durableId="1827279649">
    <w:abstractNumId w:val="17"/>
  </w:num>
  <w:num w:numId="7" w16cid:durableId="1197474248">
    <w:abstractNumId w:val="18"/>
  </w:num>
  <w:num w:numId="8" w16cid:durableId="1927105664">
    <w:abstractNumId w:val="7"/>
  </w:num>
  <w:num w:numId="9" w16cid:durableId="1758987101">
    <w:abstractNumId w:val="2"/>
  </w:num>
  <w:num w:numId="10" w16cid:durableId="1164592653">
    <w:abstractNumId w:val="4"/>
  </w:num>
  <w:num w:numId="11" w16cid:durableId="570384501">
    <w:abstractNumId w:val="23"/>
  </w:num>
  <w:num w:numId="12" w16cid:durableId="1993409733">
    <w:abstractNumId w:val="13"/>
  </w:num>
  <w:num w:numId="13" w16cid:durableId="1540359416">
    <w:abstractNumId w:val="24"/>
  </w:num>
  <w:num w:numId="14" w16cid:durableId="1089809644">
    <w:abstractNumId w:val="11"/>
  </w:num>
  <w:num w:numId="15" w16cid:durableId="366375839">
    <w:abstractNumId w:val="5"/>
  </w:num>
  <w:num w:numId="16" w16cid:durableId="498544248">
    <w:abstractNumId w:val="30"/>
  </w:num>
  <w:num w:numId="17" w16cid:durableId="517814979">
    <w:abstractNumId w:val="0"/>
  </w:num>
  <w:num w:numId="18" w16cid:durableId="1475756801">
    <w:abstractNumId w:val="31"/>
  </w:num>
  <w:num w:numId="19" w16cid:durableId="548348538">
    <w:abstractNumId w:val="3"/>
  </w:num>
  <w:num w:numId="20" w16cid:durableId="659502078">
    <w:abstractNumId w:val="8"/>
  </w:num>
  <w:num w:numId="21" w16cid:durableId="2091542792">
    <w:abstractNumId w:val="20"/>
  </w:num>
  <w:num w:numId="22" w16cid:durableId="1568953594">
    <w:abstractNumId w:val="25"/>
  </w:num>
  <w:num w:numId="23" w16cid:durableId="766266851">
    <w:abstractNumId w:val="29"/>
  </w:num>
  <w:num w:numId="24" w16cid:durableId="606039008">
    <w:abstractNumId w:val="15"/>
  </w:num>
  <w:num w:numId="25" w16cid:durableId="757605631">
    <w:abstractNumId w:val="28"/>
  </w:num>
  <w:num w:numId="26" w16cid:durableId="1846943141">
    <w:abstractNumId w:val="32"/>
  </w:num>
  <w:num w:numId="27" w16cid:durableId="1671565676">
    <w:abstractNumId w:val="34"/>
  </w:num>
  <w:num w:numId="28" w16cid:durableId="810362865">
    <w:abstractNumId w:val="12"/>
  </w:num>
  <w:num w:numId="29" w16cid:durableId="1866094666">
    <w:abstractNumId w:val="26"/>
  </w:num>
  <w:num w:numId="30" w16cid:durableId="2042125755">
    <w:abstractNumId w:val="10"/>
  </w:num>
  <w:num w:numId="31" w16cid:durableId="408845312">
    <w:abstractNumId w:val="21"/>
  </w:num>
  <w:num w:numId="32" w16cid:durableId="1923291932">
    <w:abstractNumId w:val="14"/>
  </w:num>
  <w:num w:numId="33" w16cid:durableId="1392726137">
    <w:abstractNumId w:val="27"/>
  </w:num>
  <w:num w:numId="34" w16cid:durableId="1379815678">
    <w:abstractNumId w:val="22"/>
  </w:num>
  <w:num w:numId="35" w16cid:durableId="69615500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096"/>
    <w:rsid w:val="000055A6"/>
    <w:rsid w:val="00006CA4"/>
    <w:rsid w:val="000108C8"/>
    <w:rsid w:val="0001097D"/>
    <w:rsid w:val="0002018B"/>
    <w:rsid w:val="00025AD7"/>
    <w:rsid w:val="00026EA7"/>
    <w:rsid w:val="000431F4"/>
    <w:rsid w:val="00062882"/>
    <w:rsid w:val="00065FFC"/>
    <w:rsid w:val="00067004"/>
    <w:rsid w:val="000725AD"/>
    <w:rsid w:val="00076102"/>
    <w:rsid w:val="00081922"/>
    <w:rsid w:val="00084A06"/>
    <w:rsid w:val="00087937"/>
    <w:rsid w:val="000B45F7"/>
    <w:rsid w:val="000B5317"/>
    <w:rsid w:val="000CC095"/>
    <w:rsid w:val="000E4024"/>
    <w:rsid w:val="000F0D46"/>
    <w:rsid w:val="000F2B65"/>
    <w:rsid w:val="000F7406"/>
    <w:rsid w:val="00100A5A"/>
    <w:rsid w:val="001052D6"/>
    <w:rsid w:val="001110B7"/>
    <w:rsid w:val="00114076"/>
    <w:rsid w:val="00114661"/>
    <w:rsid w:val="00117C8B"/>
    <w:rsid w:val="00130910"/>
    <w:rsid w:val="001442AA"/>
    <w:rsid w:val="00162194"/>
    <w:rsid w:val="00185D4C"/>
    <w:rsid w:val="001968E1"/>
    <w:rsid w:val="001A3419"/>
    <w:rsid w:val="001B6DF9"/>
    <w:rsid w:val="001B6E91"/>
    <w:rsid w:val="001C7334"/>
    <w:rsid w:val="001E70CE"/>
    <w:rsid w:val="001F3DD9"/>
    <w:rsid w:val="001F6A23"/>
    <w:rsid w:val="00202411"/>
    <w:rsid w:val="0020365D"/>
    <w:rsid w:val="002063F9"/>
    <w:rsid w:val="002074A1"/>
    <w:rsid w:val="00216D71"/>
    <w:rsid w:val="0022001D"/>
    <w:rsid w:val="002269C1"/>
    <w:rsid w:val="00226EE1"/>
    <w:rsid w:val="0023376E"/>
    <w:rsid w:val="002342C0"/>
    <w:rsid w:val="0025050D"/>
    <w:rsid w:val="002521C1"/>
    <w:rsid w:val="002600B2"/>
    <w:rsid w:val="002760E0"/>
    <w:rsid w:val="00293E16"/>
    <w:rsid w:val="002A06E3"/>
    <w:rsid w:val="002A45B0"/>
    <w:rsid w:val="002D7946"/>
    <w:rsid w:val="002DCC9B"/>
    <w:rsid w:val="002F41B5"/>
    <w:rsid w:val="00300BE1"/>
    <w:rsid w:val="00300C52"/>
    <w:rsid w:val="00307E0C"/>
    <w:rsid w:val="00354ABD"/>
    <w:rsid w:val="00372447"/>
    <w:rsid w:val="003772A8"/>
    <w:rsid w:val="00382F4A"/>
    <w:rsid w:val="00393A83"/>
    <w:rsid w:val="0039C93C"/>
    <w:rsid w:val="003A7E4B"/>
    <w:rsid w:val="003B25F8"/>
    <w:rsid w:val="003B77DB"/>
    <w:rsid w:val="003C2E37"/>
    <w:rsid w:val="003C43CB"/>
    <w:rsid w:val="003D6346"/>
    <w:rsid w:val="003E26E3"/>
    <w:rsid w:val="0040193C"/>
    <w:rsid w:val="00403F5A"/>
    <w:rsid w:val="00405C21"/>
    <w:rsid w:val="004092C3"/>
    <w:rsid w:val="00413F93"/>
    <w:rsid w:val="00420FCB"/>
    <w:rsid w:val="00424C43"/>
    <w:rsid w:val="0042658A"/>
    <w:rsid w:val="00427E66"/>
    <w:rsid w:val="00433E3F"/>
    <w:rsid w:val="00440637"/>
    <w:rsid w:val="00440DD4"/>
    <w:rsid w:val="0044BDF7"/>
    <w:rsid w:val="0045448C"/>
    <w:rsid w:val="0045521D"/>
    <w:rsid w:val="00457E15"/>
    <w:rsid w:val="00471250"/>
    <w:rsid w:val="004818CE"/>
    <w:rsid w:val="004877D0"/>
    <w:rsid w:val="00487B9D"/>
    <w:rsid w:val="004935C2"/>
    <w:rsid w:val="00496D1D"/>
    <w:rsid w:val="004A00AE"/>
    <w:rsid w:val="004A6C68"/>
    <w:rsid w:val="004A7DF5"/>
    <w:rsid w:val="004AF4AB"/>
    <w:rsid w:val="004B3886"/>
    <w:rsid w:val="004B6BE6"/>
    <w:rsid w:val="004C2B88"/>
    <w:rsid w:val="004D0B4F"/>
    <w:rsid w:val="004D2AA4"/>
    <w:rsid w:val="004F1D72"/>
    <w:rsid w:val="004F420F"/>
    <w:rsid w:val="004F492C"/>
    <w:rsid w:val="004F65AC"/>
    <w:rsid w:val="005271DE"/>
    <w:rsid w:val="005308BC"/>
    <w:rsid w:val="00532F4D"/>
    <w:rsid w:val="005537D8"/>
    <w:rsid w:val="00560BED"/>
    <w:rsid w:val="00562930"/>
    <w:rsid w:val="0058047C"/>
    <w:rsid w:val="0058091F"/>
    <w:rsid w:val="00580AEA"/>
    <w:rsid w:val="005A2AF3"/>
    <w:rsid w:val="005A4880"/>
    <w:rsid w:val="005B1FB3"/>
    <w:rsid w:val="005B324E"/>
    <w:rsid w:val="005C33E7"/>
    <w:rsid w:val="005D5147"/>
    <w:rsid w:val="005D707E"/>
    <w:rsid w:val="005F3D8F"/>
    <w:rsid w:val="005F7603"/>
    <w:rsid w:val="005FB63D"/>
    <w:rsid w:val="00605344"/>
    <w:rsid w:val="0060608F"/>
    <w:rsid w:val="006108FA"/>
    <w:rsid w:val="00611E80"/>
    <w:rsid w:val="0061473B"/>
    <w:rsid w:val="00615CCF"/>
    <w:rsid w:val="00616E8D"/>
    <w:rsid w:val="00634912"/>
    <w:rsid w:val="00634986"/>
    <w:rsid w:val="006463CC"/>
    <w:rsid w:val="00654417"/>
    <w:rsid w:val="006715B2"/>
    <w:rsid w:val="00672460"/>
    <w:rsid w:val="00672532"/>
    <w:rsid w:val="006790C7"/>
    <w:rsid w:val="00680213"/>
    <w:rsid w:val="00684F4F"/>
    <w:rsid w:val="00692C62"/>
    <w:rsid w:val="006931B0"/>
    <w:rsid w:val="0069594F"/>
    <w:rsid w:val="006A5B04"/>
    <w:rsid w:val="006B06E0"/>
    <w:rsid w:val="006B47F7"/>
    <w:rsid w:val="006D6D38"/>
    <w:rsid w:val="006ECB8B"/>
    <w:rsid w:val="006F1411"/>
    <w:rsid w:val="006F4B96"/>
    <w:rsid w:val="00706541"/>
    <w:rsid w:val="007143C3"/>
    <w:rsid w:val="0072057A"/>
    <w:rsid w:val="007245DC"/>
    <w:rsid w:val="0073588B"/>
    <w:rsid w:val="00735DF0"/>
    <w:rsid w:val="00750DD5"/>
    <w:rsid w:val="00751911"/>
    <w:rsid w:val="00752243"/>
    <w:rsid w:val="00760A23"/>
    <w:rsid w:val="00764795"/>
    <w:rsid w:val="00767115"/>
    <w:rsid w:val="007705CC"/>
    <w:rsid w:val="00775552"/>
    <w:rsid w:val="007758F8"/>
    <w:rsid w:val="007813E8"/>
    <w:rsid w:val="007868AB"/>
    <w:rsid w:val="00790CFA"/>
    <w:rsid w:val="00796311"/>
    <w:rsid w:val="007A6C6B"/>
    <w:rsid w:val="007B07E2"/>
    <w:rsid w:val="007B730A"/>
    <w:rsid w:val="007C199B"/>
    <w:rsid w:val="007D7E1B"/>
    <w:rsid w:val="007E21CC"/>
    <w:rsid w:val="007E6B32"/>
    <w:rsid w:val="007E74B7"/>
    <w:rsid w:val="00800AF5"/>
    <w:rsid w:val="0080569A"/>
    <w:rsid w:val="008060EE"/>
    <w:rsid w:val="00811C8F"/>
    <w:rsid w:val="0082021E"/>
    <w:rsid w:val="00821906"/>
    <w:rsid w:val="008436D2"/>
    <w:rsid w:val="008570A7"/>
    <w:rsid w:val="0089559A"/>
    <w:rsid w:val="008B7A5B"/>
    <w:rsid w:val="008C480F"/>
    <w:rsid w:val="008C4C28"/>
    <w:rsid w:val="008CF063"/>
    <w:rsid w:val="008D7573"/>
    <w:rsid w:val="008D7FB6"/>
    <w:rsid w:val="008E116B"/>
    <w:rsid w:val="008E1778"/>
    <w:rsid w:val="008E2813"/>
    <w:rsid w:val="00902DBB"/>
    <w:rsid w:val="00911152"/>
    <w:rsid w:val="00912D48"/>
    <w:rsid w:val="00930A12"/>
    <w:rsid w:val="00933CD8"/>
    <w:rsid w:val="00933E24"/>
    <w:rsid w:val="009411B2"/>
    <w:rsid w:val="00943358"/>
    <w:rsid w:val="009537F3"/>
    <w:rsid w:val="0095470F"/>
    <w:rsid w:val="00954C7E"/>
    <w:rsid w:val="00961244"/>
    <w:rsid w:val="00963867"/>
    <w:rsid w:val="00971F0F"/>
    <w:rsid w:val="00974034"/>
    <w:rsid w:val="009798AF"/>
    <w:rsid w:val="00992918"/>
    <w:rsid w:val="00993B92"/>
    <w:rsid w:val="00995185"/>
    <w:rsid w:val="009C1AE1"/>
    <w:rsid w:val="009C5C75"/>
    <w:rsid w:val="009D5B0D"/>
    <w:rsid w:val="009D6495"/>
    <w:rsid w:val="009E45B2"/>
    <w:rsid w:val="00A32C9E"/>
    <w:rsid w:val="00A33636"/>
    <w:rsid w:val="00A3773A"/>
    <w:rsid w:val="00A41AF6"/>
    <w:rsid w:val="00A44079"/>
    <w:rsid w:val="00A5318C"/>
    <w:rsid w:val="00A77ADC"/>
    <w:rsid w:val="00A90509"/>
    <w:rsid w:val="00A91F04"/>
    <w:rsid w:val="00AA6EBF"/>
    <w:rsid w:val="00AB100A"/>
    <w:rsid w:val="00AB3EE1"/>
    <w:rsid w:val="00AD6A34"/>
    <w:rsid w:val="00AD75DD"/>
    <w:rsid w:val="00AE1C9C"/>
    <w:rsid w:val="00AE26EF"/>
    <w:rsid w:val="00B14AED"/>
    <w:rsid w:val="00B177DA"/>
    <w:rsid w:val="00B2D36F"/>
    <w:rsid w:val="00B33096"/>
    <w:rsid w:val="00B3335F"/>
    <w:rsid w:val="00B33E5F"/>
    <w:rsid w:val="00B35213"/>
    <w:rsid w:val="00B414C6"/>
    <w:rsid w:val="00B43B2B"/>
    <w:rsid w:val="00B43FE1"/>
    <w:rsid w:val="00B5672C"/>
    <w:rsid w:val="00B60EB0"/>
    <w:rsid w:val="00B62A91"/>
    <w:rsid w:val="00B656B8"/>
    <w:rsid w:val="00B67487"/>
    <w:rsid w:val="00B73234"/>
    <w:rsid w:val="00B7707A"/>
    <w:rsid w:val="00B9615C"/>
    <w:rsid w:val="00B9C72A"/>
    <w:rsid w:val="00BA4CC0"/>
    <w:rsid w:val="00BB4431"/>
    <w:rsid w:val="00BD6BE7"/>
    <w:rsid w:val="00BE7ADE"/>
    <w:rsid w:val="00C03989"/>
    <w:rsid w:val="00C05839"/>
    <w:rsid w:val="00C1752F"/>
    <w:rsid w:val="00C2539D"/>
    <w:rsid w:val="00C367B9"/>
    <w:rsid w:val="00C50273"/>
    <w:rsid w:val="00C52D45"/>
    <w:rsid w:val="00C609C0"/>
    <w:rsid w:val="00C7039E"/>
    <w:rsid w:val="00C91C3A"/>
    <w:rsid w:val="00C95885"/>
    <w:rsid w:val="00CB74D6"/>
    <w:rsid w:val="00CB7E45"/>
    <w:rsid w:val="00CC2A34"/>
    <w:rsid w:val="00CC6908"/>
    <w:rsid w:val="00CD359F"/>
    <w:rsid w:val="00CD50EB"/>
    <w:rsid w:val="00CE34BE"/>
    <w:rsid w:val="00CE4361"/>
    <w:rsid w:val="00D00B6F"/>
    <w:rsid w:val="00D01EC9"/>
    <w:rsid w:val="00D022AE"/>
    <w:rsid w:val="00D037FE"/>
    <w:rsid w:val="00D121AC"/>
    <w:rsid w:val="00D164F7"/>
    <w:rsid w:val="00D24001"/>
    <w:rsid w:val="00D30E4E"/>
    <w:rsid w:val="00D34479"/>
    <w:rsid w:val="00D37C42"/>
    <w:rsid w:val="00D426BD"/>
    <w:rsid w:val="00D548C0"/>
    <w:rsid w:val="00D5FF90"/>
    <w:rsid w:val="00D614AA"/>
    <w:rsid w:val="00D73031"/>
    <w:rsid w:val="00D822EB"/>
    <w:rsid w:val="00D9CD0E"/>
    <w:rsid w:val="00DA1A23"/>
    <w:rsid w:val="00DB0527"/>
    <w:rsid w:val="00DD7A68"/>
    <w:rsid w:val="00DDA6DD"/>
    <w:rsid w:val="00DE6AA6"/>
    <w:rsid w:val="00DF3C18"/>
    <w:rsid w:val="00DF5859"/>
    <w:rsid w:val="00E077F0"/>
    <w:rsid w:val="00E122F6"/>
    <w:rsid w:val="00E12508"/>
    <w:rsid w:val="00E15094"/>
    <w:rsid w:val="00E204F6"/>
    <w:rsid w:val="00E25973"/>
    <w:rsid w:val="00E264EF"/>
    <w:rsid w:val="00E41020"/>
    <w:rsid w:val="00E4571C"/>
    <w:rsid w:val="00E553CF"/>
    <w:rsid w:val="00E909D5"/>
    <w:rsid w:val="00E94550"/>
    <w:rsid w:val="00E960BF"/>
    <w:rsid w:val="00E978E8"/>
    <w:rsid w:val="00EA17B0"/>
    <w:rsid w:val="00EA68A0"/>
    <w:rsid w:val="00EACA19"/>
    <w:rsid w:val="00EB72F1"/>
    <w:rsid w:val="00EC9AEE"/>
    <w:rsid w:val="00ED0471"/>
    <w:rsid w:val="00EF5160"/>
    <w:rsid w:val="00F02A3A"/>
    <w:rsid w:val="00F11A17"/>
    <w:rsid w:val="00F1215E"/>
    <w:rsid w:val="00F14B44"/>
    <w:rsid w:val="00F1755A"/>
    <w:rsid w:val="00F20061"/>
    <w:rsid w:val="00F33BF1"/>
    <w:rsid w:val="00F3686B"/>
    <w:rsid w:val="00F43BFE"/>
    <w:rsid w:val="00F443C9"/>
    <w:rsid w:val="00F4762D"/>
    <w:rsid w:val="00F53484"/>
    <w:rsid w:val="00F5795D"/>
    <w:rsid w:val="00F64944"/>
    <w:rsid w:val="00F675D2"/>
    <w:rsid w:val="00F758DA"/>
    <w:rsid w:val="00F76BC6"/>
    <w:rsid w:val="00F8304F"/>
    <w:rsid w:val="00F86BF0"/>
    <w:rsid w:val="00F93602"/>
    <w:rsid w:val="00FA1E10"/>
    <w:rsid w:val="00FA6A75"/>
    <w:rsid w:val="00FC687D"/>
    <w:rsid w:val="00FC722C"/>
    <w:rsid w:val="00FC8004"/>
    <w:rsid w:val="00FD7602"/>
    <w:rsid w:val="00FDD5BD"/>
    <w:rsid w:val="00FF442C"/>
    <w:rsid w:val="00FF4B9C"/>
    <w:rsid w:val="00FF5014"/>
    <w:rsid w:val="00FF518C"/>
    <w:rsid w:val="0119F213"/>
    <w:rsid w:val="0140F1DD"/>
    <w:rsid w:val="0142D859"/>
    <w:rsid w:val="015867F8"/>
    <w:rsid w:val="015B4BB7"/>
    <w:rsid w:val="01836A29"/>
    <w:rsid w:val="0186FE27"/>
    <w:rsid w:val="0188011E"/>
    <w:rsid w:val="0189AAB5"/>
    <w:rsid w:val="019754AE"/>
    <w:rsid w:val="01A49B88"/>
    <w:rsid w:val="01C542BE"/>
    <w:rsid w:val="01D0753E"/>
    <w:rsid w:val="01D7826F"/>
    <w:rsid w:val="01ECECD2"/>
    <w:rsid w:val="01F0ED66"/>
    <w:rsid w:val="0207B66F"/>
    <w:rsid w:val="02096E58"/>
    <w:rsid w:val="0209BC0A"/>
    <w:rsid w:val="021A4D95"/>
    <w:rsid w:val="021B1EB8"/>
    <w:rsid w:val="02248495"/>
    <w:rsid w:val="0230C721"/>
    <w:rsid w:val="0233603D"/>
    <w:rsid w:val="024E6E90"/>
    <w:rsid w:val="0251A37B"/>
    <w:rsid w:val="0264984C"/>
    <w:rsid w:val="0270F696"/>
    <w:rsid w:val="02772CC5"/>
    <w:rsid w:val="027B4AB2"/>
    <w:rsid w:val="02813E16"/>
    <w:rsid w:val="0283F764"/>
    <w:rsid w:val="028571DF"/>
    <w:rsid w:val="028FAAA1"/>
    <w:rsid w:val="029BF008"/>
    <w:rsid w:val="02A4489A"/>
    <w:rsid w:val="02A94BCA"/>
    <w:rsid w:val="02AE32B7"/>
    <w:rsid w:val="02AE8480"/>
    <w:rsid w:val="02B7BC41"/>
    <w:rsid w:val="02B8F0B6"/>
    <w:rsid w:val="02C11960"/>
    <w:rsid w:val="02DC273D"/>
    <w:rsid w:val="02E3D2E0"/>
    <w:rsid w:val="02F96562"/>
    <w:rsid w:val="02FA9B8F"/>
    <w:rsid w:val="02FD0B02"/>
    <w:rsid w:val="030FF9AF"/>
    <w:rsid w:val="031A0A45"/>
    <w:rsid w:val="0320E4F8"/>
    <w:rsid w:val="0321C7D3"/>
    <w:rsid w:val="0348470C"/>
    <w:rsid w:val="0349B58C"/>
    <w:rsid w:val="034B398B"/>
    <w:rsid w:val="034D9B84"/>
    <w:rsid w:val="0359B3F1"/>
    <w:rsid w:val="035E123B"/>
    <w:rsid w:val="03699FBC"/>
    <w:rsid w:val="036B99D1"/>
    <w:rsid w:val="0372F876"/>
    <w:rsid w:val="0382D2DC"/>
    <w:rsid w:val="0397B32E"/>
    <w:rsid w:val="03ABCB66"/>
    <w:rsid w:val="03BEF3B4"/>
    <w:rsid w:val="03C5C6C5"/>
    <w:rsid w:val="03C775F4"/>
    <w:rsid w:val="03CCA95F"/>
    <w:rsid w:val="03DBF30B"/>
    <w:rsid w:val="03F000D5"/>
    <w:rsid w:val="03F8D13D"/>
    <w:rsid w:val="04025C53"/>
    <w:rsid w:val="04040B28"/>
    <w:rsid w:val="04115A87"/>
    <w:rsid w:val="041AFE7C"/>
    <w:rsid w:val="042038DE"/>
    <w:rsid w:val="04238978"/>
    <w:rsid w:val="0427620C"/>
    <w:rsid w:val="0436A4F3"/>
    <w:rsid w:val="04375B71"/>
    <w:rsid w:val="04380680"/>
    <w:rsid w:val="04381502"/>
    <w:rsid w:val="0439C361"/>
    <w:rsid w:val="0441AE34"/>
    <w:rsid w:val="0446C16B"/>
    <w:rsid w:val="044887A0"/>
    <w:rsid w:val="044C4A49"/>
    <w:rsid w:val="0455D5CB"/>
    <w:rsid w:val="045F8567"/>
    <w:rsid w:val="045FBCCE"/>
    <w:rsid w:val="04632505"/>
    <w:rsid w:val="04819627"/>
    <w:rsid w:val="048A0AD2"/>
    <w:rsid w:val="04A278AE"/>
    <w:rsid w:val="04AA8007"/>
    <w:rsid w:val="04AE7FB5"/>
    <w:rsid w:val="04BFEA04"/>
    <w:rsid w:val="04C72BC6"/>
    <w:rsid w:val="04D98234"/>
    <w:rsid w:val="04EA0AEA"/>
    <w:rsid w:val="04F54EBA"/>
    <w:rsid w:val="04FD217E"/>
    <w:rsid w:val="0503708F"/>
    <w:rsid w:val="05106E70"/>
    <w:rsid w:val="05166024"/>
    <w:rsid w:val="0531FBC3"/>
    <w:rsid w:val="0532DE71"/>
    <w:rsid w:val="0535AC71"/>
    <w:rsid w:val="05424207"/>
    <w:rsid w:val="0542DB9C"/>
    <w:rsid w:val="054924E9"/>
    <w:rsid w:val="0581A1FB"/>
    <w:rsid w:val="059C7FC2"/>
    <w:rsid w:val="059F15F7"/>
    <w:rsid w:val="05A94EE6"/>
    <w:rsid w:val="05AA42DC"/>
    <w:rsid w:val="05B9506C"/>
    <w:rsid w:val="05BBA52C"/>
    <w:rsid w:val="05C776D8"/>
    <w:rsid w:val="05D4CF4A"/>
    <w:rsid w:val="05DD0EF0"/>
    <w:rsid w:val="05DD9345"/>
    <w:rsid w:val="05E68D0C"/>
    <w:rsid w:val="061273F8"/>
    <w:rsid w:val="061B457F"/>
    <w:rsid w:val="062A7D25"/>
    <w:rsid w:val="062E191F"/>
    <w:rsid w:val="063E3F68"/>
    <w:rsid w:val="06403C02"/>
    <w:rsid w:val="0646F291"/>
    <w:rsid w:val="0647A4E7"/>
    <w:rsid w:val="064FCF65"/>
    <w:rsid w:val="06603EDA"/>
    <w:rsid w:val="0668D2D9"/>
    <w:rsid w:val="06732E21"/>
    <w:rsid w:val="0676FA79"/>
    <w:rsid w:val="067CB53D"/>
    <w:rsid w:val="0684C5F9"/>
    <w:rsid w:val="068BEFC8"/>
    <w:rsid w:val="06971E53"/>
    <w:rsid w:val="069FA83B"/>
    <w:rsid w:val="06A44B3B"/>
    <w:rsid w:val="06A4D59C"/>
    <w:rsid w:val="06A7EF9B"/>
    <w:rsid w:val="06B2FC24"/>
    <w:rsid w:val="06B46894"/>
    <w:rsid w:val="06B5FDEB"/>
    <w:rsid w:val="06BFF681"/>
    <w:rsid w:val="06C14103"/>
    <w:rsid w:val="06C833A1"/>
    <w:rsid w:val="06C99A90"/>
    <w:rsid w:val="06CF4003"/>
    <w:rsid w:val="06D1B24F"/>
    <w:rsid w:val="06D54F42"/>
    <w:rsid w:val="06D8C387"/>
    <w:rsid w:val="06E509C3"/>
    <w:rsid w:val="06E53800"/>
    <w:rsid w:val="06E96A38"/>
    <w:rsid w:val="06EA5F80"/>
    <w:rsid w:val="06EAC1B3"/>
    <w:rsid w:val="06EE7522"/>
    <w:rsid w:val="06FF2ACF"/>
    <w:rsid w:val="07080235"/>
    <w:rsid w:val="07144D5E"/>
    <w:rsid w:val="07178109"/>
    <w:rsid w:val="0718B8EC"/>
    <w:rsid w:val="0720868B"/>
    <w:rsid w:val="072D8987"/>
    <w:rsid w:val="0736315B"/>
    <w:rsid w:val="074CF4CA"/>
    <w:rsid w:val="074F70D7"/>
    <w:rsid w:val="075138D7"/>
    <w:rsid w:val="07522D11"/>
    <w:rsid w:val="075B70F3"/>
    <w:rsid w:val="0764F902"/>
    <w:rsid w:val="0765F9AE"/>
    <w:rsid w:val="076998B6"/>
    <w:rsid w:val="076CB2EB"/>
    <w:rsid w:val="076FFB4A"/>
    <w:rsid w:val="0774CEB8"/>
    <w:rsid w:val="0775BEEA"/>
    <w:rsid w:val="077E8161"/>
    <w:rsid w:val="0783466A"/>
    <w:rsid w:val="0787A13F"/>
    <w:rsid w:val="0790282B"/>
    <w:rsid w:val="07B2E1A0"/>
    <w:rsid w:val="07C1B4E2"/>
    <w:rsid w:val="07C71A88"/>
    <w:rsid w:val="07D6451C"/>
    <w:rsid w:val="07D9913C"/>
    <w:rsid w:val="07E14C04"/>
    <w:rsid w:val="07FEE0DB"/>
    <w:rsid w:val="081AAF9B"/>
    <w:rsid w:val="082CE2B8"/>
    <w:rsid w:val="0831FE20"/>
    <w:rsid w:val="083B776F"/>
    <w:rsid w:val="083D9E07"/>
    <w:rsid w:val="083DEFC2"/>
    <w:rsid w:val="084F7F35"/>
    <w:rsid w:val="0856CF91"/>
    <w:rsid w:val="0857CCE1"/>
    <w:rsid w:val="085A5801"/>
    <w:rsid w:val="085EFC9A"/>
    <w:rsid w:val="08614A41"/>
    <w:rsid w:val="087548BC"/>
    <w:rsid w:val="08786C57"/>
    <w:rsid w:val="0878C46E"/>
    <w:rsid w:val="0884B7BF"/>
    <w:rsid w:val="08857AA1"/>
    <w:rsid w:val="0885AB51"/>
    <w:rsid w:val="088A696F"/>
    <w:rsid w:val="088F5B54"/>
    <w:rsid w:val="08980425"/>
    <w:rsid w:val="08984F15"/>
    <w:rsid w:val="08ADE547"/>
    <w:rsid w:val="08B3E878"/>
    <w:rsid w:val="08B50ECB"/>
    <w:rsid w:val="08BA1EB9"/>
    <w:rsid w:val="08C03095"/>
    <w:rsid w:val="08C48AE5"/>
    <w:rsid w:val="08C6F258"/>
    <w:rsid w:val="08C8C105"/>
    <w:rsid w:val="08DA4E07"/>
    <w:rsid w:val="08E1B9A1"/>
    <w:rsid w:val="08E5D9B9"/>
    <w:rsid w:val="08EAB865"/>
    <w:rsid w:val="08F04A8A"/>
    <w:rsid w:val="08F388AC"/>
    <w:rsid w:val="08F7D212"/>
    <w:rsid w:val="0902066E"/>
    <w:rsid w:val="091641C5"/>
    <w:rsid w:val="092180D3"/>
    <w:rsid w:val="0925D418"/>
    <w:rsid w:val="09288C0A"/>
    <w:rsid w:val="0931322F"/>
    <w:rsid w:val="093CB00A"/>
    <w:rsid w:val="0942B926"/>
    <w:rsid w:val="0942D9CD"/>
    <w:rsid w:val="09464ABF"/>
    <w:rsid w:val="094C9E60"/>
    <w:rsid w:val="0951493E"/>
    <w:rsid w:val="0957222E"/>
    <w:rsid w:val="0964D448"/>
    <w:rsid w:val="0965F148"/>
    <w:rsid w:val="0968EFC6"/>
    <w:rsid w:val="0976675B"/>
    <w:rsid w:val="09791C3F"/>
    <w:rsid w:val="097E62A0"/>
    <w:rsid w:val="09819CE3"/>
    <w:rsid w:val="09838F69"/>
    <w:rsid w:val="09938EA1"/>
    <w:rsid w:val="0993CD02"/>
    <w:rsid w:val="0994F8F1"/>
    <w:rsid w:val="099C86C9"/>
    <w:rsid w:val="09A0C55D"/>
    <w:rsid w:val="09B4186D"/>
    <w:rsid w:val="09B47A97"/>
    <w:rsid w:val="09BE03B4"/>
    <w:rsid w:val="09BF911F"/>
    <w:rsid w:val="09C6C1FA"/>
    <w:rsid w:val="09C9A10B"/>
    <w:rsid w:val="09D5BA6E"/>
    <w:rsid w:val="09F9AAF9"/>
    <w:rsid w:val="09FA2D2A"/>
    <w:rsid w:val="09FBCAE7"/>
    <w:rsid w:val="0A0A9F5B"/>
    <w:rsid w:val="0A193FBC"/>
    <w:rsid w:val="0A2A4B5B"/>
    <w:rsid w:val="0A2F4ED2"/>
    <w:rsid w:val="0A315358"/>
    <w:rsid w:val="0A329E6C"/>
    <w:rsid w:val="0A363E7D"/>
    <w:rsid w:val="0A36A3AB"/>
    <w:rsid w:val="0A38C624"/>
    <w:rsid w:val="0A452495"/>
    <w:rsid w:val="0A48A900"/>
    <w:rsid w:val="0A5715FD"/>
    <w:rsid w:val="0A5D9D84"/>
    <w:rsid w:val="0A67B7DD"/>
    <w:rsid w:val="0A6B184E"/>
    <w:rsid w:val="0A71E5A6"/>
    <w:rsid w:val="0A75E762"/>
    <w:rsid w:val="0A76FC44"/>
    <w:rsid w:val="0A8E3905"/>
    <w:rsid w:val="0A98827A"/>
    <w:rsid w:val="0A98BA2D"/>
    <w:rsid w:val="0AA3B694"/>
    <w:rsid w:val="0AA3B9B0"/>
    <w:rsid w:val="0AA7E068"/>
    <w:rsid w:val="0AB8E32D"/>
    <w:rsid w:val="0AC2804B"/>
    <w:rsid w:val="0AC9CAA1"/>
    <w:rsid w:val="0ACA15D3"/>
    <w:rsid w:val="0ADF370A"/>
    <w:rsid w:val="0AEC28B7"/>
    <w:rsid w:val="0AF3DD21"/>
    <w:rsid w:val="0B0D41FF"/>
    <w:rsid w:val="0B0FEF0B"/>
    <w:rsid w:val="0B1AE8A2"/>
    <w:rsid w:val="0B211152"/>
    <w:rsid w:val="0B234AF8"/>
    <w:rsid w:val="0B24C9B1"/>
    <w:rsid w:val="0B331F59"/>
    <w:rsid w:val="0B35F91B"/>
    <w:rsid w:val="0B492905"/>
    <w:rsid w:val="0B49D888"/>
    <w:rsid w:val="0B54D715"/>
    <w:rsid w:val="0B5EA3A9"/>
    <w:rsid w:val="0B6DA0D3"/>
    <w:rsid w:val="0B7CC856"/>
    <w:rsid w:val="0B805473"/>
    <w:rsid w:val="0B8641FB"/>
    <w:rsid w:val="0B936BB2"/>
    <w:rsid w:val="0B9790A6"/>
    <w:rsid w:val="0B998BFF"/>
    <w:rsid w:val="0BAAAC78"/>
    <w:rsid w:val="0BC3690C"/>
    <w:rsid w:val="0BCD283F"/>
    <w:rsid w:val="0BD18734"/>
    <w:rsid w:val="0BD8C80E"/>
    <w:rsid w:val="0BE00847"/>
    <w:rsid w:val="0BE04675"/>
    <w:rsid w:val="0BE198B9"/>
    <w:rsid w:val="0BE7F957"/>
    <w:rsid w:val="0BE98C3C"/>
    <w:rsid w:val="0BF695AD"/>
    <w:rsid w:val="0BFE6E81"/>
    <w:rsid w:val="0C038881"/>
    <w:rsid w:val="0C0AA3D2"/>
    <w:rsid w:val="0C11B799"/>
    <w:rsid w:val="0C139EEA"/>
    <w:rsid w:val="0C246452"/>
    <w:rsid w:val="0C47DCDE"/>
    <w:rsid w:val="0C59C9FC"/>
    <w:rsid w:val="0C5AC9C0"/>
    <w:rsid w:val="0C64E9A8"/>
    <w:rsid w:val="0C66FFE4"/>
    <w:rsid w:val="0C6A8BF5"/>
    <w:rsid w:val="0C71B5F5"/>
    <w:rsid w:val="0C7BEB5F"/>
    <w:rsid w:val="0C88CEC4"/>
    <w:rsid w:val="0C94D4E5"/>
    <w:rsid w:val="0C952B68"/>
    <w:rsid w:val="0C977A07"/>
    <w:rsid w:val="0C9D8DD5"/>
    <w:rsid w:val="0CA10065"/>
    <w:rsid w:val="0CA706CF"/>
    <w:rsid w:val="0CA71E63"/>
    <w:rsid w:val="0CB431C4"/>
    <w:rsid w:val="0CBE2454"/>
    <w:rsid w:val="0CBFF768"/>
    <w:rsid w:val="0CC9ABF5"/>
    <w:rsid w:val="0CCB411B"/>
    <w:rsid w:val="0CE017EF"/>
    <w:rsid w:val="0CED63A7"/>
    <w:rsid w:val="0CF0811F"/>
    <w:rsid w:val="0D08F024"/>
    <w:rsid w:val="0D0A6B2E"/>
    <w:rsid w:val="0D0D0716"/>
    <w:rsid w:val="0D11F73A"/>
    <w:rsid w:val="0D1868A0"/>
    <w:rsid w:val="0D18AAB1"/>
    <w:rsid w:val="0D1D1D14"/>
    <w:rsid w:val="0D456435"/>
    <w:rsid w:val="0D4C5040"/>
    <w:rsid w:val="0D4F3535"/>
    <w:rsid w:val="0D53D78A"/>
    <w:rsid w:val="0D5A83A6"/>
    <w:rsid w:val="0D6A7A44"/>
    <w:rsid w:val="0D6DEA69"/>
    <w:rsid w:val="0D7403E9"/>
    <w:rsid w:val="0D7BCF02"/>
    <w:rsid w:val="0D8F4D17"/>
    <w:rsid w:val="0D991709"/>
    <w:rsid w:val="0D9A6973"/>
    <w:rsid w:val="0D9E30CA"/>
    <w:rsid w:val="0DA50B8E"/>
    <w:rsid w:val="0DAF1E93"/>
    <w:rsid w:val="0DB4C69F"/>
    <w:rsid w:val="0DC1A1A8"/>
    <w:rsid w:val="0DC9C784"/>
    <w:rsid w:val="0DCE968B"/>
    <w:rsid w:val="0DD2076D"/>
    <w:rsid w:val="0DE8C837"/>
    <w:rsid w:val="0DE97C9B"/>
    <w:rsid w:val="0DEA82A9"/>
    <w:rsid w:val="0DFD08A9"/>
    <w:rsid w:val="0DFE8E82"/>
    <w:rsid w:val="0E062EF3"/>
    <w:rsid w:val="0E121B61"/>
    <w:rsid w:val="0E1D52AF"/>
    <w:rsid w:val="0E1E5550"/>
    <w:rsid w:val="0E2765AA"/>
    <w:rsid w:val="0E2F4B18"/>
    <w:rsid w:val="0E4BD8E8"/>
    <w:rsid w:val="0E4CCB01"/>
    <w:rsid w:val="0E530978"/>
    <w:rsid w:val="0E724C0F"/>
    <w:rsid w:val="0E859A08"/>
    <w:rsid w:val="0E913995"/>
    <w:rsid w:val="0E94D2B5"/>
    <w:rsid w:val="0E95DC85"/>
    <w:rsid w:val="0EA0DB68"/>
    <w:rsid w:val="0EA6F699"/>
    <w:rsid w:val="0EA8B87A"/>
    <w:rsid w:val="0EB7489B"/>
    <w:rsid w:val="0EB8228A"/>
    <w:rsid w:val="0EC421BE"/>
    <w:rsid w:val="0EC694D7"/>
    <w:rsid w:val="0ED08A95"/>
    <w:rsid w:val="0ED0F43D"/>
    <w:rsid w:val="0EF75FC0"/>
    <w:rsid w:val="0EFD70AF"/>
    <w:rsid w:val="0F086CCB"/>
    <w:rsid w:val="0F09F470"/>
    <w:rsid w:val="0F1835C8"/>
    <w:rsid w:val="0F1C2245"/>
    <w:rsid w:val="0F300A4E"/>
    <w:rsid w:val="0F33B589"/>
    <w:rsid w:val="0F3C4DBB"/>
    <w:rsid w:val="0F43873D"/>
    <w:rsid w:val="0F6D8425"/>
    <w:rsid w:val="0F7AE2DD"/>
    <w:rsid w:val="0F7C3629"/>
    <w:rsid w:val="0F7EA560"/>
    <w:rsid w:val="0F8705A7"/>
    <w:rsid w:val="0F8CD796"/>
    <w:rsid w:val="0F9216AE"/>
    <w:rsid w:val="0F972A67"/>
    <w:rsid w:val="0FB77EA2"/>
    <w:rsid w:val="0FBAF1A3"/>
    <w:rsid w:val="0FD0DE69"/>
    <w:rsid w:val="0FDD22B1"/>
    <w:rsid w:val="0FEE1738"/>
    <w:rsid w:val="1002A173"/>
    <w:rsid w:val="1005D47E"/>
    <w:rsid w:val="1005F145"/>
    <w:rsid w:val="101F15C9"/>
    <w:rsid w:val="10480338"/>
    <w:rsid w:val="104B4CA7"/>
    <w:rsid w:val="10580776"/>
    <w:rsid w:val="105BAA03"/>
    <w:rsid w:val="105EB1BF"/>
    <w:rsid w:val="10628514"/>
    <w:rsid w:val="106638C6"/>
    <w:rsid w:val="10705384"/>
    <w:rsid w:val="1084FBD6"/>
    <w:rsid w:val="10949EC7"/>
    <w:rsid w:val="109CE1AE"/>
    <w:rsid w:val="10A4C357"/>
    <w:rsid w:val="10AE1089"/>
    <w:rsid w:val="10B3D49A"/>
    <w:rsid w:val="10C1CF83"/>
    <w:rsid w:val="10C6BD5E"/>
    <w:rsid w:val="10CAE9C8"/>
    <w:rsid w:val="10CD6B76"/>
    <w:rsid w:val="10D9D77F"/>
    <w:rsid w:val="10DA0775"/>
    <w:rsid w:val="10E35B90"/>
    <w:rsid w:val="10E9FDED"/>
    <w:rsid w:val="1106D649"/>
    <w:rsid w:val="1107891F"/>
    <w:rsid w:val="110AEEB5"/>
    <w:rsid w:val="110C4BD8"/>
    <w:rsid w:val="11198644"/>
    <w:rsid w:val="1119A321"/>
    <w:rsid w:val="111A7533"/>
    <w:rsid w:val="111E5AEF"/>
    <w:rsid w:val="11295675"/>
    <w:rsid w:val="112CD581"/>
    <w:rsid w:val="1133BB57"/>
    <w:rsid w:val="11428F8C"/>
    <w:rsid w:val="114DAD06"/>
    <w:rsid w:val="11548567"/>
    <w:rsid w:val="1158F62F"/>
    <w:rsid w:val="115A6057"/>
    <w:rsid w:val="115B0DB0"/>
    <w:rsid w:val="116A90F4"/>
    <w:rsid w:val="117492D8"/>
    <w:rsid w:val="1176A563"/>
    <w:rsid w:val="11800849"/>
    <w:rsid w:val="11991AD5"/>
    <w:rsid w:val="11A997A4"/>
    <w:rsid w:val="11B237AA"/>
    <w:rsid w:val="11BB2AAB"/>
    <w:rsid w:val="11C4FE12"/>
    <w:rsid w:val="11C942E5"/>
    <w:rsid w:val="11CE81F9"/>
    <w:rsid w:val="11DE7AAA"/>
    <w:rsid w:val="11E69583"/>
    <w:rsid w:val="11EA774D"/>
    <w:rsid w:val="11F5B1B8"/>
    <w:rsid w:val="11F82554"/>
    <w:rsid w:val="11FAA157"/>
    <w:rsid w:val="1215B2BD"/>
    <w:rsid w:val="121D766E"/>
    <w:rsid w:val="1221DC41"/>
    <w:rsid w:val="1222581D"/>
    <w:rsid w:val="123FADA8"/>
    <w:rsid w:val="12400E87"/>
    <w:rsid w:val="1240CA4B"/>
    <w:rsid w:val="1241C279"/>
    <w:rsid w:val="12461D3A"/>
    <w:rsid w:val="124BC1CB"/>
    <w:rsid w:val="125228E4"/>
    <w:rsid w:val="1255CD04"/>
    <w:rsid w:val="125A4745"/>
    <w:rsid w:val="1266E3CF"/>
    <w:rsid w:val="127F8170"/>
    <w:rsid w:val="12805418"/>
    <w:rsid w:val="128446FE"/>
    <w:rsid w:val="129CBA39"/>
    <w:rsid w:val="129E3C45"/>
    <w:rsid w:val="129ED9E7"/>
    <w:rsid w:val="12A06C38"/>
    <w:rsid w:val="12B0B9BF"/>
    <w:rsid w:val="12D18ABD"/>
    <w:rsid w:val="12D4164F"/>
    <w:rsid w:val="12E77CB2"/>
    <w:rsid w:val="12E84D13"/>
    <w:rsid w:val="12ECCFFA"/>
    <w:rsid w:val="12EEEF6C"/>
    <w:rsid w:val="12F5BDB4"/>
    <w:rsid w:val="130D3054"/>
    <w:rsid w:val="1337CB23"/>
    <w:rsid w:val="1339B7B0"/>
    <w:rsid w:val="133C89A0"/>
    <w:rsid w:val="133C9C56"/>
    <w:rsid w:val="133E913E"/>
    <w:rsid w:val="13545E33"/>
    <w:rsid w:val="13584CE2"/>
    <w:rsid w:val="13651FB2"/>
    <w:rsid w:val="1369388F"/>
    <w:rsid w:val="136AC3D9"/>
    <w:rsid w:val="137CA384"/>
    <w:rsid w:val="137D426E"/>
    <w:rsid w:val="13804B69"/>
    <w:rsid w:val="138692BC"/>
    <w:rsid w:val="138C3F9A"/>
    <w:rsid w:val="138CBC42"/>
    <w:rsid w:val="13922D8A"/>
    <w:rsid w:val="139993D1"/>
    <w:rsid w:val="139D6E3A"/>
    <w:rsid w:val="13A714D9"/>
    <w:rsid w:val="13AB30E5"/>
    <w:rsid w:val="13AF193B"/>
    <w:rsid w:val="13AF4ABC"/>
    <w:rsid w:val="13B4FAC0"/>
    <w:rsid w:val="13B7BA70"/>
    <w:rsid w:val="13B9C1CC"/>
    <w:rsid w:val="13C18A16"/>
    <w:rsid w:val="13C6B4B6"/>
    <w:rsid w:val="13DDE27F"/>
    <w:rsid w:val="13DF7FF7"/>
    <w:rsid w:val="1402883F"/>
    <w:rsid w:val="140AACD8"/>
    <w:rsid w:val="140D5108"/>
    <w:rsid w:val="14106DFE"/>
    <w:rsid w:val="141943E6"/>
    <w:rsid w:val="1429F526"/>
    <w:rsid w:val="142A6D72"/>
    <w:rsid w:val="142F094E"/>
    <w:rsid w:val="143E0C85"/>
    <w:rsid w:val="14487BBA"/>
    <w:rsid w:val="144C953F"/>
    <w:rsid w:val="144F24D6"/>
    <w:rsid w:val="145FA0DC"/>
    <w:rsid w:val="1460E19A"/>
    <w:rsid w:val="146616E5"/>
    <w:rsid w:val="1466A588"/>
    <w:rsid w:val="146CE004"/>
    <w:rsid w:val="146F4260"/>
    <w:rsid w:val="1470538A"/>
    <w:rsid w:val="14758FBA"/>
    <w:rsid w:val="1477585A"/>
    <w:rsid w:val="14807A80"/>
    <w:rsid w:val="1487405D"/>
    <w:rsid w:val="149248FC"/>
    <w:rsid w:val="14A7F1D6"/>
    <w:rsid w:val="14B5F557"/>
    <w:rsid w:val="14B9F97D"/>
    <w:rsid w:val="14BCE63D"/>
    <w:rsid w:val="14BE1C91"/>
    <w:rsid w:val="14BEB7F6"/>
    <w:rsid w:val="14C74B0D"/>
    <w:rsid w:val="14CDDD92"/>
    <w:rsid w:val="14D0CD63"/>
    <w:rsid w:val="14DE3D8F"/>
    <w:rsid w:val="14DF40FD"/>
    <w:rsid w:val="14E225D5"/>
    <w:rsid w:val="14F7C4EB"/>
    <w:rsid w:val="14FBF6D6"/>
    <w:rsid w:val="1504AE13"/>
    <w:rsid w:val="1506F1F7"/>
    <w:rsid w:val="150DE661"/>
    <w:rsid w:val="1514E6A1"/>
    <w:rsid w:val="15154E91"/>
    <w:rsid w:val="15181373"/>
    <w:rsid w:val="151A63EA"/>
    <w:rsid w:val="151EA0D2"/>
    <w:rsid w:val="15237B75"/>
    <w:rsid w:val="152769E5"/>
    <w:rsid w:val="1537A3F5"/>
    <w:rsid w:val="15385D0C"/>
    <w:rsid w:val="153E753E"/>
    <w:rsid w:val="154C073B"/>
    <w:rsid w:val="155EB981"/>
    <w:rsid w:val="1560F279"/>
    <w:rsid w:val="15629143"/>
    <w:rsid w:val="15686030"/>
    <w:rsid w:val="156B901D"/>
    <w:rsid w:val="156EEA3C"/>
    <w:rsid w:val="157617AE"/>
    <w:rsid w:val="1584BCB1"/>
    <w:rsid w:val="158CBC7E"/>
    <w:rsid w:val="158FEBD5"/>
    <w:rsid w:val="15A6AFD4"/>
    <w:rsid w:val="15AAC5F5"/>
    <w:rsid w:val="15B13C5D"/>
    <w:rsid w:val="15B8CB0B"/>
    <w:rsid w:val="15BE0FF0"/>
    <w:rsid w:val="15BEFA10"/>
    <w:rsid w:val="15C09ED2"/>
    <w:rsid w:val="15C1B16F"/>
    <w:rsid w:val="15E6F944"/>
    <w:rsid w:val="15E86C9C"/>
    <w:rsid w:val="15EF59B3"/>
    <w:rsid w:val="15F2AC3A"/>
    <w:rsid w:val="15FA9BB4"/>
    <w:rsid w:val="15FCE2DF"/>
    <w:rsid w:val="161ADEB9"/>
    <w:rsid w:val="161B108D"/>
    <w:rsid w:val="16268A93"/>
    <w:rsid w:val="1627B609"/>
    <w:rsid w:val="1631FE03"/>
    <w:rsid w:val="1638C3C8"/>
    <w:rsid w:val="16402535"/>
    <w:rsid w:val="164373D9"/>
    <w:rsid w:val="164A3060"/>
    <w:rsid w:val="1652ED8A"/>
    <w:rsid w:val="16560572"/>
    <w:rsid w:val="16586012"/>
    <w:rsid w:val="166055F5"/>
    <w:rsid w:val="1661B8F4"/>
    <w:rsid w:val="16725801"/>
    <w:rsid w:val="1676CD92"/>
    <w:rsid w:val="1677ABBD"/>
    <w:rsid w:val="16860361"/>
    <w:rsid w:val="16872267"/>
    <w:rsid w:val="1689622D"/>
    <w:rsid w:val="168D065F"/>
    <w:rsid w:val="16A84DED"/>
    <w:rsid w:val="16B6D587"/>
    <w:rsid w:val="16B7D1A4"/>
    <w:rsid w:val="16BCB50F"/>
    <w:rsid w:val="16CCD04E"/>
    <w:rsid w:val="16CF26F7"/>
    <w:rsid w:val="16CFE424"/>
    <w:rsid w:val="16D5522E"/>
    <w:rsid w:val="16DA929E"/>
    <w:rsid w:val="16DD698F"/>
    <w:rsid w:val="16DEE6C9"/>
    <w:rsid w:val="16DFA729"/>
    <w:rsid w:val="16E34F5D"/>
    <w:rsid w:val="16F62FC9"/>
    <w:rsid w:val="16FCB634"/>
    <w:rsid w:val="16FE68DD"/>
    <w:rsid w:val="170228F6"/>
    <w:rsid w:val="17068AB5"/>
    <w:rsid w:val="170724B5"/>
    <w:rsid w:val="171813E7"/>
    <w:rsid w:val="171AE2D5"/>
    <w:rsid w:val="17244DF4"/>
    <w:rsid w:val="172A6055"/>
    <w:rsid w:val="17333D68"/>
    <w:rsid w:val="1741263D"/>
    <w:rsid w:val="174457BC"/>
    <w:rsid w:val="174E6577"/>
    <w:rsid w:val="1757E998"/>
    <w:rsid w:val="175D4DE5"/>
    <w:rsid w:val="1765484D"/>
    <w:rsid w:val="1770EB76"/>
    <w:rsid w:val="1785569A"/>
    <w:rsid w:val="178C86E0"/>
    <w:rsid w:val="178CC482"/>
    <w:rsid w:val="179F0B88"/>
    <w:rsid w:val="17A685BD"/>
    <w:rsid w:val="17AB3301"/>
    <w:rsid w:val="17AC763C"/>
    <w:rsid w:val="17B98D2F"/>
    <w:rsid w:val="17BC46E9"/>
    <w:rsid w:val="17BD8130"/>
    <w:rsid w:val="17D8B915"/>
    <w:rsid w:val="17DBA148"/>
    <w:rsid w:val="17DC6FB9"/>
    <w:rsid w:val="17DDCFD1"/>
    <w:rsid w:val="17FC8FE6"/>
    <w:rsid w:val="17FE7074"/>
    <w:rsid w:val="17FF65D6"/>
    <w:rsid w:val="180399E2"/>
    <w:rsid w:val="180486EF"/>
    <w:rsid w:val="1804FD28"/>
    <w:rsid w:val="1816A79B"/>
    <w:rsid w:val="181E7873"/>
    <w:rsid w:val="18246D30"/>
    <w:rsid w:val="1827EC0C"/>
    <w:rsid w:val="1845D91A"/>
    <w:rsid w:val="184F24AA"/>
    <w:rsid w:val="184FE151"/>
    <w:rsid w:val="18512F2B"/>
    <w:rsid w:val="185ABAF9"/>
    <w:rsid w:val="185C24BC"/>
    <w:rsid w:val="18629B12"/>
    <w:rsid w:val="186CCD5D"/>
    <w:rsid w:val="18800509"/>
    <w:rsid w:val="1880BEC9"/>
    <w:rsid w:val="1882F9D3"/>
    <w:rsid w:val="18860741"/>
    <w:rsid w:val="1891801F"/>
    <w:rsid w:val="1895F6B4"/>
    <w:rsid w:val="189799A5"/>
    <w:rsid w:val="189F7014"/>
    <w:rsid w:val="18A0789E"/>
    <w:rsid w:val="18B740F1"/>
    <w:rsid w:val="18D0B8A5"/>
    <w:rsid w:val="18D56795"/>
    <w:rsid w:val="18DB481A"/>
    <w:rsid w:val="18DBCBEE"/>
    <w:rsid w:val="18DCE6DA"/>
    <w:rsid w:val="18E70341"/>
    <w:rsid w:val="190120ED"/>
    <w:rsid w:val="190363D9"/>
    <w:rsid w:val="19039F15"/>
    <w:rsid w:val="191200F2"/>
    <w:rsid w:val="19128203"/>
    <w:rsid w:val="1913D714"/>
    <w:rsid w:val="19182E1A"/>
    <w:rsid w:val="191AB624"/>
    <w:rsid w:val="19200FA5"/>
    <w:rsid w:val="193B2B72"/>
    <w:rsid w:val="19481E3E"/>
    <w:rsid w:val="194A5A0E"/>
    <w:rsid w:val="1953B0B0"/>
    <w:rsid w:val="1957EBBE"/>
    <w:rsid w:val="1961112F"/>
    <w:rsid w:val="196A7A2F"/>
    <w:rsid w:val="196E0B4A"/>
    <w:rsid w:val="196EC533"/>
    <w:rsid w:val="1971E5AC"/>
    <w:rsid w:val="1975469A"/>
    <w:rsid w:val="19807672"/>
    <w:rsid w:val="1980F4AA"/>
    <w:rsid w:val="198A0937"/>
    <w:rsid w:val="1999CB99"/>
    <w:rsid w:val="19A13137"/>
    <w:rsid w:val="19BF5CEF"/>
    <w:rsid w:val="19C952A7"/>
    <w:rsid w:val="19D2B835"/>
    <w:rsid w:val="19E0CE61"/>
    <w:rsid w:val="19E33AFD"/>
    <w:rsid w:val="19E79FB3"/>
    <w:rsid w:val="19F5B982"/>
    <w:rsid w:val="1A09E205"/>
    <w:rsid w:val="1A0C6A05"/>
    <w:rsid w:val="1A0F6E86"/>
    <w:rsid w:val="1A113759"/>
    <w:rsid w:val="1A11480A"/>
    <w:rsid w:val="1A16934A"/>
    <w:rsid w:val="1A19CFD5"/>
    <w:rsid w:val="1A47F149"/>
    <w:rsid w:val="1A4A169A"/>
    <w:rsid w:val="1A4AB6D5"/>
    <w:rsid w:val="1A65AA64"/>
    <w:rsid w:val="1A67589D"/>
    <w:rsid w:val="1A8AD515"/>
    <w:rsid w:val="1A9FCCE9"/>
    <w:rsid w:val="1AA76482"/>
    <w:rsid w:val="1AA900E0"/>
    <w:rsid w:val="1AB55F06"/>
    <w:rsid w:val="1AB63048"/>
    <w:rsid w:val="1ACF484D"/>
    <w:rsid w:val="1AD28D63"/>
    <w:rsid w:val="1AD4D06F"/>
    <w:rsid w:val="1ADEADC4"/>
    <w:rsid w:val="1AF0E0CF"/>
    <w:rsid w:val="1B165DBD"/>
    <w:rsid w:val="1B201CD7"/>
    <w:rsid w:val="1B356655"/>
    <w:rsid w:val="1B43FCA1"/>
    <w:rsid w:val="1B4F6AAD"/>
    <w:rsid w:val="1B5858B8"/>
    <w:rsid w:val="1B5B8509"/>
    <w:rsid w:val="1B5C2DA4"/>
    <w:rsid w:val="1B640B9D"/>
    <w:rsid w:val="1B7382B7"/>
    <w:rsid w:val="1B75F68E"/>
    <w:rsid w:val="1B7E704A"/>
    <w:rsid w:val="1B82EA93"/>
    <w:rsid w:val="1B86F749"/>
    <w:rsid w:val="1B8D0CC1"/>
    <w:rsid w:val="1BA45C4A"/>
    <w:rsid w:val="1BA83F40"/>
    <w:rsid w:val="1BA9756B"/>
    <w:rsid w:val="1BB2A0FF"/>
    <w:rsid w:val="1BB6A2A8"/>
    <w:rsid w:val="1BC4B096"/>
    <w:rsid w:val="1BCB280C"/>
    <w:rsid w:val="1BDB916C"/>
    <w:rsid w:val="1BDFE3D7"/>
    <w:rsid w:val="1BE508A4"/>
    <w:rsid w:val="1BE994B5"/>
    <w:rsid w:val="1BF24FA5"/>
    <w:rsid w:val="1C046D4B"/>
    <w:rsid w:val="1C0CEC0C"/>
    <w:rsid w:val="1C12672D"/>
    <w:rsid w:val="1C1D32DA"/>
    <w:rsid w:val="1C1E2468"/>
    <w:rsid w:val="1C376B11"/>
    <w:rsid w:val="1C3C4F27"/>
    <w:rsid w:val="1C42D13F"/>
    <w:rsid w:val="1C49A56E"/>
    <w:rsid w:val="1C5440E3"/>
    <w:rsid w:val="1C56DB25"/>
    <w:rsid w:val="1C6C2424"/>
    <w:rsid w:val="1C6CF240"/>
    <w:rsid w:val="1C7C614C"/>
    <w:rsid w:val="1C837BA6"/>
    <w:rsid w:val="1C9877E6"/>
    <w:rsid w:val="1C99DAE2"/>
    <w:rsid w:val="1CB52C84"/>
    <w:rsid w:val="1CC0A1F7"/>
    <w:rsid w:val="1CCA5857"/>
    <w:rsid w:val="1CE3AD28"/>
    <w:rsid w:val="1CE3D961"/>
    <w:rsid w:val="1CEA6FB1"/>
    <w:rsid w:val="1CEDDF29"/>
    <w:rsid w:val="1D052133"/>
    <w:rsid w:val="1D09686F"/>
    <w:rsid w:val="1D11D47C"/>
    <w:rsid w:val="1D17328A"/>
    <w:rsid w:val="1D1FBC44"/>
    <w:rsid w:val="1D22CE5D"/>
    <w:rsid w:val="1D31A010"/>
    <w:rsid w:val="1D41EAB0"/>
    <w:rsid w:val="1D4B456B"/>
    <w:rsid w:val="1D4F5209"/>
    <w:rsid w:val="1D5553E2"/>
    <w:rsid w:val="1D56E330"/>
    <w:rsid w:val="1D570314"/>
    <w:rsid w:val="1D5AB605"/>
    <w:rsid w:val="1D5C624F"/>
    <w:rsid w:val="1D6F1D35"/>
    <w:rsid w:val="1D83E423"/>
    <w:rsid w:val="1D87BC23"/>
    <w:rsid w:val="1D8C6884"/>
    <w:rsid w:val="1D8EE4F8"/>
    <w:rsid w:val="1D967347"/>
    <w:rsid w:val="1DAD9A6C"/>
    <w:rsid w:val="1DB2DCDB"/>
    <w:rsid w:val="1DB70125"/>
    <w:rsid w:val="1DBA73BD"/>
    <w:rsid w:val="1DBB882C"/>
    <w:rsid w:val="1DBDDB3D"/>
    <w:rsid w:val="1DD13575"/>
    <w:rsid w:val="1DD2F9FF"/>
    <w:rsid w:val="1DD80799"/>
    <w:rsid w:val="1DD8B42A"/>
    <w:rsid w:val="1DE1FD51"/>
    <w:rsid w:val="1DF54679"/>
    <w:rsid w:val="1DF6297F"/>
    <w:rsid w:val="1E04B9EC"/>
    <w:rsid w:val="1E08C7F2"/>
    <w:rsid w:val="1E0C202F"/>
    <w:rsid w:val="1E1156CF"/>
    <w:rsid w:val="1E22E988"/>
    <w:rsid w:val="1E2C727D"/>
    <w:rsid w:val="1E34B0B4"/>
    <w:rsid w:val="1E3F4CC0"/>
    <w:rsid w:val="1E55DE9B"/>
    <w:rsid w:val="1E5733E1"/>
    <w:rsid w:val="1E5E07E9"/>
    <w:rsid w:val="1E6598DE"/>
    <w:rsid w:val="1E6C4783"/>
    <w:rsid w:val="1E6F6870"/>
    <w:rsid w:val="1E6FA17F"/>
    <w:rsid w:val="1E705900"/>
    <w:rsid w:val="1E710081"/>
    <w:rsid w:val="1E7E188A"/>
    <w:rsid w:val="1E85BDC0"/>
    <w:rsid w:val="1E85CF27"/>
    <w:rsid w:val="1E8A53B9"/>
    <w:rsid w:val="1E8FADCE"/>
    <w:rsid w:val="1E9D953B"/>
    <w:rsid w:val="1EA018E9"/>
    <w:rsid w:val="1EA10887"/>
    <w:rsid w:val="1EA41D6A"/>
    <w:rsid w:val="1EAA550C"/>
    <w:rsid w:val="1EB05DAF"/>
    <w:rsid w:val="1EB1F549"/>
    <w:rsid w:val="1EB34EC1"/>
    <w:rsid w:val="1EC851FF"/>
    <w:rsid w:val="1ECA8B7B"/>
    <w:rsid w:val="1ECB9711"/>
    <w:rsid w:val="1ECEEC7E"/>
    <w:rsid w:val="1ED2402C"/>
    <w:rsid w:val="1ED25CAA"/>
    <w:rsid w:val="1ED5D7FF"/>
    <w:rsid w:val="1ED70461"/>
    <w:rsid w:val="1EE27F9F"/>
    <w:rsid w:val="1EE41526"/>
    <w:rsid w:val="1EED23B3"/>
    <w:rsid w:val="1EF52334"/>
    <w:rsid w:val="1EF60281"/>
    <w:rsid w:val="1EFA641B"/>
    <w:rsid w:val="1EFDD858"/>
    <w:rsid w:val="1F16F3ED"/>
    <w:rsid w:val="1F19EE06"/>
    <w:rsid w:val="1F213F2F"/>
    <w:rsid w:val="1F25373D"/>
    <w:rsid w:val="1F2838EA"/>
    <w:rsid w:val="1F2D01E8"/>
    <w:rsid w:val="1F3195D0"/>
    <w:rsid w:val="1F368606"/>
    <w:rsid w:val="1F3B241F"/>
    <w:rsid w:val="1F3BA114"/>
    <w:rsid w:val="1F42356B"/>
    <w:rsid w:val="1F46DD0A"/>
    <w:rsid w:val="1F4BCA57"/>
    <w:rsid w:val="1F562912"/>
    <w:rsid w:val="1F6DEA1A"/>
    <w:rsid w:val="1F7280FE"/>
    <w:rsid w:val="1F74D40E"/>
    <w:rsid w:val="1F86A1BF"/>
    <w:rsid w:val="1F9420A1"/>
    <w:rsid w:val="1FA0FE77"/>
    <w:rsid w:val="1FBD2A10"/>
    <w:rsid w:val="1FBE26CC"/>
    <w:rsid w:val="1FCA30C7"/>
    <w:rsid w:val="1FDC1B78"/>
    <w:rsid w:val="1FE9C11E"/>
    <w:rsid w:val="1FF7B8E2"/>
    <w:rsid w:val="20060954"/>
    <w:rsid w:val="2008388C"/>
    <w:rsid w:val="200B7F6B"/>
    <w:rsid w:val="202CABA6"/>
    <w:rsid w:val="20335B8A"/>
    <w:rsid w:val="203912F1"/>
    <w:rsid w:val="2048F25E"/>
    <w:rsid w:val="20537A9B"/>
    <w:rsid w:val="205D38A3"/>
    <w:rsid w:val="206CCBC1"/>
    <w:rsid w:val="20743B00"/>
    <w:rsid w:val="207BE07C"/>
    <w:rsid w:val="207DC33D"/>
    <w:rsid w:val="2085648E"/>
    <w:rsid w:val="2086B8C2"/>
    <w:rsid w:val="20A01C6E"/>
    <w:rsid w:val="20A350C8"/>
    <w:rsid w:val="20C5683D"/>
    <w:rsid w:val="20C995C5"/>
    <w:rsid w:val="20E98751"/>
    <w:rsid w:val="20F1FC03"/>
    <w:rsid w:val="20FBFB28"/>
    <w:rsid w:val="20FCBC96"/>
    <w:rsid w:val="20FF5510"/>
    <w:rsid w:val="210554F4"/>
    <w:rsid w:val="210B099B"/>
    <w:rsid w:val="2112E650"/>
    <w:rsid w:val="211366E1"/>
    <w:rsid w:val="21193FFD"/>
    <w:rsid w:val="211D768D"/>
    <w:rsid w:val="21209A91"/>
    <w:rsid w:val="21217178"/>
    <w:rsid w:val="2121CAF5"/>
    <w:rsid w:val="212EBE6D"/>
    <w:rsid w:val="2130966B"/>
    <w:rsid w:val="214110FB"/>
    <w:rsid w:val="2143020C"/>
    <w:rsid w:val="217798CE"/>
    <w:rsid w:val="21842BD1"/>
    <w:rsid w:val="218641FD"/>
    <w:rsid w:val="218BE189"/>
    <w:rsid w:val="219A3EF2"/>
    <w:rsid w:val="21A15E02"/>
    <w:rsid w:val="21A8D84C"/>
    <w:rsid w:val="21ABD580"/>
    <w:rsid w:val="21B7ED16"/>
    <w:rsid w:val="21BCA661"/>
    <w:rsid w:val="21BD8D34"/>
    <w:rsid w:val="21C7A18F"/>
    <w:rsid w:val="21CB5D6E"/>
    <w:rsid w:val="21CBC93D"/>
    <w:rsid w:val="21D3BE31"/>
    <w:rsid w:val="21E5A3E5"/>
    <w:rsid w:val="21F01603"/>
    <w:rsid w:val="2204C30A"/>
    <w:rsid w:val="2204E9F0"/>
    <w:rsid w:val="220B01B0"/>
    <w:rsid w:val="2212B298"/>
    <w:rsid w:val="221DDC90"/>
    <w:rsid w:val="221DDEE6"/>
    <w:rsid w:val="222012CE"/>
    <w:rsid w:val="22345F23"/>
    <w:rsid w:val="22379B53"/>
    <w:rsid w:val="22458227"/>
    <w:rsid w:val="224E79BA"/>
    <w:rsid w:val="22548D15"/>
    <w:rsid w:val="225A28AD"/>
    <w:rsid w:val="2261ECE3"/>
    <w:rsid w:val="22686B47"/>
    <w:rsid w:val="226B5700"/>
    <w:rsid w:val="226F042A"/>
    <w:rsid w:val="227197AF"/>
    <w:rsid w:val="22725750"/>
    <w:rsid w:val="227A524E"/>
    <w:rsid w:val="22807FE1"/>
    <w:rsid w:val="22859AA8"/>
    <w:rsid w:val="228A2DDA"/>
    <w:rsid w:val="228C15DD"/>
    <w:rsid w:val="22900E4F"/>
    <w:rsid w:val="229435E8"/>
    <w:rsid w:val="22950123"/>
    <w:rsid w:val="22A6BB55"/>
    <w:rsid w:val="22B37CF1"/>
    <w:rsid w:val="22C7B000"/>
    <w:rsid w:val="22C90D30"/>
    <w:rsid w:val="22D9E6D1"/>
    <w:rsid w:val="22E36AA8"/>
    <w:rsid w:val="22EB753A"/>
    <w:rsid w:val="22ED0B6B"/>
    <w:rsid w:val="22EF1957"/>
    <w:rsid w:val="2313DCC0"/>
    <w:rsid w:val="23144447"/>
    <w:rsid w:val="231553B2"/>
    <w:rsid w:val="232B0F53"/>
    <w:rsid w:val="233C371F"/>
    <w:rsid w:val="2343E534"/>
    <w:rsid w:val="234E8D8A"/>
    <w:rsid w:val="235F1DA3"/>
    <w:rsid w:val="23632F0D"/>
    <w:rsid w:val="236B6DF5"/>
    <w:rsid w:val="236E7E8B"/>
    <w:rsid w:val="23711385"/>
    <w:rsid w:val="2372FCDA"/>
    <w:rsid w:val="23808E33"/>
    <w:rsid w:val="238B7173"/>
    <w:rsid w:val="239F6F5B"/>
    <w:rsid w:val="23A909B0"/>
    <w:rsid w:val="23B334CB"/>
    <w:rsid w:val="23B97614"/>
    <w:rsid w:val="23BD46F3"/>
    <w:rsid w:val="23BF86B3"/>
    <w:rsid w:val="23C132BF"/>
    <w:rsid w:val="23C62908"/>
    <w:rsid w:val="23CD7392"/>
    <w:rsid w:val="23DBE03E"/>
    <w:rsid w:val="23E6C85E"/>
    <w:rsid w:val="23F64DB0"/>
    <w:rsid w:val="23FE23A0"/>
    <w:rsid w:val="2405D042"/>
    <w:rsid w:val="2409E99A"/>
    <w:rsid w:val="240EFA54"/>
    <w:rsid w:val="2415CE99"/>
    <w:rsid w:val="241AF248"/>
    <w:rsid w:val="2422BD41"/>
    <w:rsid w:val="243B78D2"/>
    <w:rsid w:val="243EE365"/>
    <w:rsid w:val="244A5161"/>
    <w:rsid w:val="24569E84"/>
    <w:rsid w:val="245C0CAF"/>
    <w:rsid w:val="246101EB"/>
    <w:rsid w:val="246D506B"/>
    <w:rsid w:val="247683E1"/>
    <w:rsid w:val="2479BC05"/>
    <w:rsid w:val="24896E27"/>
    <w:rsid w:val="24934853"/>
    <w:rsid w:val="24A78A5C"/>
    <w:rsid w:val="24AB04E4"/>
    <w:rsid w:val="24AEB63D"/>
    <w:rsid w:val="24BAA3C2"/>
    <w:rsid w:val="24BB6000"/>
    <w:rsid w:val="24D671B2"/>
    <w:rsid w:val="24D71EC1"/>
    <w:rsid w:val="24D860B2"/>
    <w:rsid w:val="24D88805"/>
    <w:rsid w:val="24DFE7AB"/>
    <w:rsid w:val="24EF1BC2"/>
    <w:rsid w:val="24EF81E9"/>
    <w:rsid w:val="24F7DF07"/>
    <w:rsid w:val="250723F5"/>
    <w:rsid w:val="250A3838"/>
    <w:rsid w:val="250EE815"/>
    <w:rsid w:val="2514D915"/>
    <w:rsid w:val="2516F9BE"/>
    <w:rsid w:val="251BE1D7"/>
    <w:rsid w:val="2541667C"/>
    <w:rsid w:val="25663DE3"/>
    <w:rsid w:val="257A7389"/>
    <w:rsid w:val="257E11C0"/>
    <w:rsid w:val="25808013"/>
    <w:rsid w:val="25820CA9"/>
    <w:rsid w:val="258254D8"/>
    <w:rsid w:val="258DDE4B"/>
    <w:rsid w:val="25924732"/>
    <w:rsid w:val="25951BFC"/>
    <w:rsid w:val="25A619F4"/>
    <w:rsid w:val="25A8556A"/>
    <w:rsid w:val="25AEA006"/>
    <w:rsid w:val="25B7074F"/>
    <w:rsid w:val="25D0A835"/>
    <w:rsid w:val="25D224D3"/>
    <w:rsid w:val="25DFC48A"/>
    <w:rsid w:val="25EE4A5B"/>
    <w:rsid w:val="25FE9E79"/>
    <w:rsid w:val="260123A1"/>
    <w:rsid w:val="2605DC3F"/>
    <w:rsid w:val="260822C9"/>
    <w:rsid w:val="2616D86A"/>
    <w:rsid w:val="261816A9"/>
    <w:rsid w:val="261FB11D"/>
    <w:rsid w:val="2637ABBA"/>
    <w:rsid w:val="263B0343"/>
    <w:rsid w:val="264D5520"/>
    <w:rsid w:val="264D9645"/>
    <w:rsid w:val="266AA148"/>
    <w:rsid w:val="266AD9F2"/>
    <w:rsid w:val="266BD816"/>
    <w:rsid w:val="2674ADD8"/>
    <w:rsid w:val="2683BF65"/>
    <w:rsid w:val="2685471C"/>
    <w:rsid w:val="2688FD52"/>
    <w:rsid w:val="2689C0C9"/>
    <w:rsid w:val="2692D133"/>
    <w:rsid w:val="26978B2B"/>
    <w:rsid w:val="26A6FCFD"/>
    <w:rsid w:val="26AA4B5F"/>
    <w:rsid w:val="26AE5C8C"/>
    <w:rsid w:val="26DA6ECD"/>
    <w:rsid w:val="26E6787D"/>
    <w:rsid w:val="26E83AE9"/>
    <w:rsid w:val="26E83D2D"/>
    <w:rsid w:val="27016FDE"/>
    <w:rsid w:val="270DBAF7"/>
    <w:rsid w:val="27162020"/>
    <w:rsid w:val="27187DFE"/>
    <w:rsid w:val="271B78C3"/>
    <w:rsid w:val="27212124"/>
    <w:rsid w:val="272173AF"/>
    <w:rsid w:val="272C4EEF"/>
    <w:rsid w:val="272CC730"/>
    <w:rsid w:val="273F584C"/>
    <w:rsid w:val="274063F8"/>
    <w:rsid w:val="27500339"/>
    <w:rsid w:val="27542467"/>
    <w:rsid w:val="2757A312"/>
    <w:rsid w:val="275B5109"/>
    <w:rsid w:val="275D91FF"/>
    <w:rsid w:val="2762B093"/>
    <w:rsid w:val="27681441"/>
    <w:rsid w:val="276A477B"/>
    <w:rsid w:val="27736394"/>
    <w:rsid w:val="277CE851"/>
    <w:rsid w:val="27863B70"/>
    <w:rsid w:val="2794C5B8"/>
    <w:rsid w:val="2795CD29"/>
    <w:rsid w:val="27A61E5A"/>
    <w:rsid w:val="27A78CEC"/>
    <w:rsid w:val="27AE71C5"/>
    <w:rsid w:val="27BA0A70"/>
    <w:rsid w:val="27CA1439"/>
    <w:rsid w:val="27CE8F32"/>
    <w:rsid w:val="27D94623"/>
    <w:rsid w:val="27EBC5A9"/>
    <w:rsid w:val="27F3FA77"/>
    <w:rsid w:val="27F8D14B"/>
    <w:rsid w:val="2816CB3B"/>
    <w:rsid w:val="281C16AA"/>
    <w:rsid w:val="28312B43"/>
    <w:rsid w:val="28408BEA"/>
    <w:rsid w:val="28437EF7"/>
    <w:rsid w:val="28442052"/>
    <w:rsid w:val="284A641A"/>
    <w:rsid w:val="285C74CA"/>
    <w:rsid w:val="28666EC5"/>
    <w:rsid w:val="286700A2"/>
    <w:rsid w:val="28725D36"/>
    <w:rsid w:val="28743867"/>
    <w:rsid w:val="287B59D0"/>
    <w:rsid w:val="288638DB"/>
    <w:rsid w:val="288927D7"/>
    <w:rsid w:val="288D218F"/>
    <w:rsid w:val="2896CC5E"/>
    <w:rsid w:val="28999522"/>
    <w:rsid w:val="28A03E8B"/>
    <w:rsid w:val="28A069E6"/>
    <w:rsid w:val="28B6C473"/>
    <w:rsid w:val="28BFEC4B"/>
    <w:rsid w:val="28C56185"/>
    <w:rsid w:val="28DFF7A1"/>
    <w:rsid w:val="28E64C2A"/>
    <w:rsid w:val="28F127ED"/>
    <w:rsid w:val="28F65B06"/>
    <w:rsid w:val="2903CA37"/>
    <w:rsid w:val="2909C8DE"/>
    <w:rsid w:val="290BABDA"/>
    <w:rsid w:val="2935DC60"/>
    <w:rsid w:val="29366159"/>
    <w:rsid w:val="293F0E6C"/>
    <w:rsid w:val="29464FCF"/>
    <w:rsid w:val="2953C69E"/>
    <w:rsid w:val="29627BF5"/>
    <w:rsid w:val="296BC3D5"/>
    <w:rsid w:val="296C97A7"/>
    <w:rsid w:val="2970D1B2"/>
    <w:rsid w:val="29729183"/>
    <w:rsid w:val="2982C6FF"/>
    <w:rsid w:val="29854812"/>
    <w:rsid w:val="29890E54"/>
    <w:rsid w:val="298B5C6F"/>
    <w:rsid w:val="299A33C4"/>
    <w:rsid w:val="299CC599"/>
    <w:rsid w:val="299F81BF"/>
    <w:rsid w:val="29A568D1"/>
    <w:rsid w:val="29A6E31E"/>
    <w:rsid w:val="29A8CD48"/>
    <w:rsid w:val="29AB32D9"/>
    <w:rsid w:val="29AE0321"/>
    <w:rsid w:val="29B0AF60"/>
    <w:rsid w:val="29B6D40B"/>
    <w:rsid w:val="29B865EF"/>
    <w:rsid w:val="29BAA5CA"/>
    <w:rsid w:val="29BFF62C"/>
    <w:rsid w:val="29C6DDBA"/>
    <w:rsid w:val="29CAE8C8"/>
    <w:rsid w:val="29D80060"/>
    <w:rsid w:val="29E51980"/>
    <w:rsid w:val="29ED33A8"/>
    <w:rsid w:val="29EFF73A"/>
    <w:rsid w:val="29F9DC45"/>
    <w:rsid w:val="2A03F84E"/>
    <w:rsid w:val="2A17D48D"/>
    <w:rsid w:val="2A1ACEE3"/>
    <w:rsid w:val="2A1C90B5"/>
    <w:rsid w:val="2A1EA507"/>
    <w:rsid w:val="2A22109F"/>
    <w:rsid w:val="2A265D25"/>
    <w:rsid w:val="2A35ECB5"/>
    <w:rsid w:val="2A36077E"/>
    <w:rsid w:val="2A5B1AF8"/>
    <w:rsid w:val="2A5E9F2D"/>
    <w:rsid w:val="2A6F898C"/>
    <w:rsid w:val="2A7354AA"/>
    <w:rsid w:val="2A74D185"/>
    <w:rsid w:val="2A766FE0"/>
    <w:rsid w:val="2A7B27F7"/>
    <w:rsid w:val="2A7F02D5"/>
    <w:rsid w:val="2A8AEFCA"/>
    <w:rsid w:val="2A9D7925"/>
    <w:rsid w:val="2AA4D5B9"/>
    <w:rsid w:val="2AB1DF81"/>
    <w:rsid w:val="2AD70FF0"/>
    <w:rsid w:val="2ADDA9FC"/>
    <w:rsid w:val="2AE09BAD"/>
    <w:rsid w:val="2AE2908C"/>
    <w:rsid w:val="2AE76789"/>
    <w:rsid w:val="2AE861B1"/>
    <w:rsid w:val="2AEE467C"/>
    <w:rsid w:val="2AFBD1CA"/>
    <w:rsid w:val="2AFFA31B"/>
    <w:rsid w:val="2B022E9A"/>
    <w:rsid w:val="2B0348C3"/>
    <w:rsid w:val="2B04EE16"/>
    <w:rsid w:val="2B0557C8"/>
    <w:rsid w:val="2B10A493"/>
    <w:rsid w:val="2B1266A9"/>
    <w:rsid w:val="2B148794"/>
    <w:rsid w:val="2B15AF3B"/>
    <w:rsid w:val="2B1806B6"/>
    <w:rsid w:val="2B1A1ECA"/>
    <w:rsid w:val="2B2D78EA"/>
    <w:rsid w:val="2B3176F4"/>
    <w:rsid w:val="2B3DFDB6"/>
    <w:rsid w:val="2B4C3A30"/>
    <w:rsid w:val="2B58FCCA"/>
    <w:rsid w:val="2B677544"/>
    <w:rsid w:val="2B6C7323"/>
    <w:rsid w:val="2B7604B3"/>
    <w:rsid w:val="2B7C7BA8"/>
    <w:rsid w:val="2B7FC9A1"/>
    <w:rsid w:val="2B85A4A2"/>
    <w:rsid w:val="2B8E0743"/>
    <w:rsid w:val="2B903DF8"/>
    <w:rsid w:val="2B91151E"/>
    <w:rsid w:val="2BA20034"/>
    <w:rsid w:val="2BA437C3"/>
    <w:rsid w:val="2BA6FB14"/>
    <w:rsid w:val="2BA70BDE"/>
    <w:rsid w:val="2BBC1484"/>
    <w:rsid w:val="2BBE71C6"/>
    <w:rsid w:val="2BCA834C"/>
    <w:rsid w:val="2BCB3627"/>
    <w:rsid w:val="2BCD09AC"/>
    <w:rsid w:val="2BD145BD"/>
    <w:rsid w:val="2BE653F7"/>
    <w:rsid w:val="2BEF34C6"/>
    <w:rsid w:val="2BF56A68"/>
    <w:rsid w:val="2BF72588"/>
    <w:rsid w:val="2BF9936E"/>
    <w:rsid w:val="2C1C20C3"/>
    <w:rsid w:val="2C33A7DD"/>
    <w:rsid w:val="2C76F116"/>
    <w:rsid w:val="2C7F1AEB"/>
    <w:rsid w:val="2C84A05C"/>
    <w:rsid w:val="2C9105EB"/>
    <w:rsid w:val="2CB055BB"/>
    <w:rsid w:val="2CB3C1A7"/>
    <w:rsid w:val="2CCCD071"/>
    <w:rsid w:val="2CCD366A"/>
    <w:rsid w:val="2CD2D79D"/>
    <w:rsid w:val="2CD368A5"/>
    <w:rsid w:val="2CD74EBA"/>
    <w:rsid w:val="2CD8AC83"/>
    <w:rsid w:val="2CDE6697"/>
    <w:rsid w:val="2CE5BCF1"/>
    <w:rsid w:val="2CF7CD93"/>
    <w:rsid w:val="2CFD5A23"/>
    <w:rsid w:val="2D00D3A9"/>
    <w:rsid w:val="2D01CCD1"/>
    <w:rsid w:val="2D08A563"/>
    <w:rsid w:val="2D0D4897"/>
    <w:rsid w:val="2D16CC5D"/>
    <w:rsid w:val="2D33E1A7"/>
    <w:rsid w:val="2D425FDE"/>
    <w:rsid w:val="2D480230"/>
    <w:rsid w:val="2D497454"/>
    <w:rsid w:val="2D4C0D93"/>
    <w:rsid w:val="2D4D5A86"/>
    <w:rsid w:val="2D50D5B3"/>
    <w:rsid w:val="2D543CC1"/>
    <w:rsid w:val="2D63E0C3"/>
    <w:rsid w:val="2D69CD91"/>
    <w:rsid w:val="2D761C32"/>
    <w:rsid w:val="2D7AD51C"/>
    <w:rsid w:val="2D7FB996"/>
    <w:rsid w:val="2D91DCBA"/>
    <w:rsid w:val="2D9BF900"/>
    <w:rsid w:val="2DA9065E"/>
    <w:rsid w:val="2DB9BD03"/>
    <w:rsid w:val="2DBC415F"/>
    <w:rsid w:val="2DC2F746"/>
    <w:rsid w:val="2DCFDCE9"/>
    <w:rsid w:val="2DD3D92B"/>
    <w:rsid w:val="2DD8A63D"/>
    <w:rsid w:val="2DDDDA1A"/>
    <w:rsid w:val="2DDF81BD"/>
    <w:rsid w:val="2DE63829"/>
    <w:rsid w:val="2DF962D8"/>
    <w:rsid w:val="2E04243E"/>
    <w:rsid w:val="2E053CA4"/>
    <w:rsid w:val="2E0DD1C9"/>
    <w:rsid w:val="2E14EDAE"/>
    <w:rsid w:val="2E1AFFE6"/>
    <w:rsid w:val="2E1C6553"/>
    <w:rsid w:val="2E1CE28F"/>
    <w:rsid w:val="2E211D76"/>
    <w:rsid w:val="2E23889E"/>
    <w:rsid w:val="2E23BB02"/>
    <w:rsid w:val="2E331EE9"/>
    <w:rsid w:val="2E3737D5"/>
    <w:rsid w:val="2E4A8764"/>
    <w:rsid w:val="2E4D7058"/>
    <w:rsid w:val="2E534D1C"/>
    <w:rsid w:val="2E58221B"/>
    <w:rsid w:val="2E6CB509"/>
    <w:rsid w:val="2E7D617B"/>
    <w:rsid w:val="2E80AA23"/>
    <w:rsid w:val="2E81F677"/>
    <w:rsid w:val="2E8C2F06"/>
    <w:rsid w:val="2E90EA3A"/>
    <w:rsid w:val="2E9E25D9"/>
    <w:rsid w:val="2EBFCFF2"/>
    <w:rsid w:val="2EDA5EFA"/>
    <w:rsid w:val="2EDCD657"/>
    <w:rsid w:val="2EDFDF81"/>
    <w:rsid w:val="2EE416AB"/>
    <w:rsid w:val="2EE5FB56"/>
    <w:rsid w:val="2EEAF626"/>
    <w:rsid w:val="2EFA8758"/>
    <w:rsid w:val="2F1469AD"/>
    <w:rsid w:val="2F1F3DE0"/>
    <w:rsid w:val="2F277FBF"/>
    <w:rsid w:val="2F356313"/>
    <w:rsid w:val="2F3E0983"/>
    <w:rsid w:val="2F4C6DE0"/>
    <w:rsid w:val="2F5951E2"/>
    <w:rsid w:val="2F6DCAEE"/>
    <w:rsid w:val="2F742849"/>
    <w:rsid w:val="2F800CE0"/>
    <w:rsid w:val="2F80E8E1"/>
    <w:rsid w:val="2F968EF2"/>
    <w:rsid w:val="2F9AAE9D"/>
    <w:rsid w:val="2F9DFE62"/>
    <w:rsid w:val="2FA1B4D1"/>
    <w:rsid w:val="2FA9EE62"/>
    <w:rsid w:val="2FB4C3DE"/>
    <w:rsid w:val="2FC4A8E8"/>
    <w:rsid w:val="2FCEE278"/>
    <w:rsid w:val="2FD6ABC2"/>
    <w:rsid w:val="2FD81C51"/>
    <w:rsid w:val="2FD8FC9D"/>
    <w:rsid w:val="2FDABF91"/>
    <w:rsid w:val="2FDDF2E9"/>
    <w:rsid w:val="2FE90FE1"/>
    <w:rsid w:val="2FF22206"/>
    <w:rsid w:val="2FF2F693"/>
    <w:rsid w:val="2FF439EC"/>
    <w:rsid w:val="30010FDA"/>
    <w:rsid w:val="30076135"/>
    <w:rsid w:val="300DA75C"/>
    <w:rsid w:val="3014A9A7"/>
    <w:rsid w:val="30189621"/>
    <w:rsid w:val="30199708"/>
    <w:rsid w:val="301C963C"/>
    <w:rsid w:val="30295A69"/>
    <w:rsid w:val="3033F5A9"/>
    <w:rsid w:val="3037B798"/>
    <w:rsid w:val="303B3D58"/>
    <w:rsid w:val="304528BD"/>
    <w:rsid w:val="3057F597"/>
    <w:rsid w:val="3058E615"/>
    <w:rsid w:val="3063C50E"/>
    <w:rsid w:val="306B9DB1"/>
    <w:rsid w:val="3071D626"/>
    <w:rsid w:val="30787253"/>
    <w:rsid w:val="30788DA4"/>
    <w:rsid w:val="307E4246"/>
    <w:rsid w:val="3095D38A"/>
    <w:rsid w:val="309BB5D7"/>
    <w:rsid w:val="309DEEF5"/>
    <w:rsid w:val="30A2374F"/>
    <w:rsid w:val="30AC8093"/>
    <w:rsid w:val="30BE444A"/>
    <w:rsid w:val="30C21F6C"/>
    <w:rsid w:val="30D56DD0"/>
    <w:rsid w:val="30DC6EDB"/>
    <w:rsid w:val="30DCA5E1"/>
    <w:rsid w:val="30DE77A9"/>
    <w:rsid w:val="30E4D27C"/>
    <w:rsid w:val="30E807ED"/>
    <w:rsid w:val="30EBFA93"/>
    <w:rsid w:val="310855E1"/>
    <w:rsid w:val="312096B1"/>
    <w:rsid w:val="3121E1B1"/>
    <w:rsid w:val="312542BE"/>
    <w:rsid w:val="3131AADB"/>
    <w:rsid w:val="3141CB23"/>
    <w:rsid w:val="31501414"/>
    <w:rsid w:val="31532C8A"/>
    <w:rsid w:val="315651D8"/>
    <w:rsid w:val="3167EF53"/>
    <w:rsid w:val="316CC1EF"/>
    <w:rsid w:val="316D99C1"/>
    <w:rsid w:val="316DD518"/>
    <w:rsid w:val="316EE8E6"/>
    <w:rsid w:val="3181799C"/>
    <w:rsid w:val="3186E876"/>
    <w:rsid w:val="3188C003"/>
    <w:rsid w:val="318FDAC7"/>
    <w:rsid w:val="319721A3"/>
    <w:rsid w:val="31A8FB1B"/>
    <w:rsid w:val="31CD5929"/>
    <w:rsid w:val="31D7D7B5"/>
    <w:rsid w:val="31D999EC"/>
    <w:rsid w:val="31DFA6CA"/>
    <w:rsid w:val="31EF91FF"/>
    <w:rsid w:val="31FEC4B2"/>
    <w:rsid w:val="32293241"/>
    <w:rsid w:val="322CD2E6"/>
    <w:rsid w:val="322D54EA"/>
    <w:rsid w:val="323A611C"/>
    <w:rsid w:val="323C097D"/>
    <w:rsid w:val="323FCD2D"/>
    <w:rsid w:val="32444BA5"/>
    <w:rsid w:val="32445EAE"/>
    <w:rsid w:val="3252D33B"/>
    <w:rsid w:val="3253E29C"/>
    <w:rsid w:val="32546D71"/>
    <w:rsid w:val="326BD08F"/>
    <w:rsid w:val="326C69B1"/>
    <w:rsid w:val="3276C094"/>
    <w:rsid w:val="327C3DA6"/>
    <w:rsid w:val="3282920C"/>
    <w:rsid w:val="3284D65A"/>
    <w:rsid w:val="328A3942"/>
    <w:rsid w:val="329899E2"/>
    <w:rsid w:val="32AA3F74"/>
    <w:rsid w:val="32B53F5A"/>
    <w:rsid w:val="32B61517"/>
    <w:rsid w:val="32C2FDC6"/>
    <w:rsid w:val="32CBF3CA"/>
    <w:rsid w:val="32CEF537"/>
    <w:rsid w:val="32D3F479"/>
    <w:rsid w:val="32EC0B7D"/>
    <w:rsid w:val="32EFD2E9"/>
    <w:rsid w:val="32F6DAC9"/>
    <w:rsid w:val="32F98993"/>
    <w:rsid w:val="3300125E"/>
    <w:rsid w:val="33029C9B"/>
    <w:rsid w:val="3318680C"/>
    <w:rsid w:val="3318E858"/>
    <w:rsid w:val="332101F0"/>
    <w:rsid w:val="3324B31A"/>
    <w:rsid w:val="332A6D85"/>
    <w:rsid w:val="3335948D"/>
    <w:rsid w:val="3338AB02"/>
    <w:rsid w:val="333CCD8D"/>
    <w:rsid w:val="3341F3AC"/>
    <w:rsid w:val="3347CAAC"/>
    <w:rsid w:val="334EE9FB"/>
    <w:rsid w:val="335867F3"/>
    <w:rsid w:val="3359C08C"/>
    <w:rsid w:val="33617E69"/>
    <w:rsid w:val="336A8B2F"/>
    <w:rsid w:val="336B9CA8"/>
    <w:rsid w:val="336BC100"/>
    <w:rsid w:val="33848C4A"/>
    <w:rsid w:val="339071B6"/>
    <w:rsid w:val="33915658"/>
    <w:rsid w:val="339EBFB6"/>
    <w:rsid w:val="33A16FFB"/>
    <w:rsid w:val="33B3763F"/>
    <w:rsid w:val="33B85FFD"/>
    <w:rsid w:val="33BA162C"/>
    <w:rsid w:val="33BE432E"/>
    <w:rsid w:val="33C7EA77"/>
    <w:rsid w:val="33C871D6"/>
    <w:rsid w:val="33D07ADB"/>
    <w:rsid w:val="33D394D2"/>
    <w:rsid w:val="33D4C0C3"/>
    <w:rsid w:val="33D57B22"/>
    <w:rsid w:val="33D796C5"/>
    <w:rsid w:val="33DFE6AC"/>
    <w:rsid w:val="33E2A58B"/>
    <w:rsid w:val="33F510B0"/>
    <w:rsid w:val="33F6E8BE"/>
    <w:rsid w:val="3402DEEF"/>
    <w:rsid w:val="34084330"/>
    <w:rsid w:val="341F0157"/>
    <w:rsid w:val="3424EE30"/>
    <w:rsid w:val="342A729B"/>
    <w:rsid w:val="342EB986"/>
    <w:rsid w:val="34346EB8"/>
    <w:rsid w:val="343491DD"/>
    <w:rsid w:val="343854A7"/>
    <w:rsid w:val="3444303E"/>
    <w:rsid w:val="344F2077"/>
    <w:rsid w:val="345521C9"/>
    <w:rsid w:val="3463793F"/>
    <w:rsid w:val="346E4101"/>
    <w:rsid w:val="347922A4"/>
    <w:rsid w:val="347C1A13"/>
    <w:rsid w:val="347CFD06"/>
    <w:rsid w:val="348B2F92"/>
    <w:rsid w:val="348DE81D"/>
    <w:rsid w:val="348F19AA"/>
    <w:rsid w:val="34930F88"/>
    <w:rsid w:val="3497C8CB"/>
    <w:rsid w:val="34A074AB"/>
    <w:rsid w:val="34A5EEC1"/>
    <w:rsid w:val="34AD2E60"/>
    <w:rsid w:val="34B71675"/>
    <w:rsid w:val="34C045D8"/>
    <w:rsid w:val="34C45CBC"/>
    <w:rsid w:val="34C4C45A"/>
    <w:rsid w:val="34C4DCE5"/>
    <w:rsid w:val="34CA8C89"/>
    <w:rsid w:val="34CDA263"/>
    <w:rsid w:val="34D72395"/>
    <w:rsid w:val="34DF3C7D"/>
    <w:rsid w:val="3500817A"/>
    <w:rsid w:val="350A9904"/>
    <w:rsid w:val="350AB6F1"/>
    <w:rsid w:val="350B5088"/>
    <w:rsid w:val="350D9845"/>
    <w:rsid w:val="35148CFB"/>
    <w:rsid w:val="3536DE8D"/>
    <w:rsid w:val="353E835C"/>
    <w:rsid w:val="353F443B"/>
    <w:rsid w:val="35525ABD"/>
    <w:rsid w:val="3556867E"/>
    <w:rsid w:val="355DD7EC"/>
    <w:rsid w:val="356A19A8"/>
    <w:rsid w:val="356AECE5"/>
    <w:rsid w:val="356E23DE"/>
    <w:rsid w:val="357A53D3"/>
    <w:rsid w:val="357CCA34"/>
    <w:rsid w:val="359155B3"/>
    <w:rsid w:val="35928FCF"/>
    <w:rsid w:val="35963458"/>
    <w:rsid w:val="3598261A"/>
    <w:rsid w:val="35AE93E2"/>
    <w:rsid w:val="35B2EA4D"/>
    <w:rsid w:val="35C1C6BE"/>
    <w:rsid w:val="35C3D8E0"/>
    <w:rsid w:val="35C78210"/>
    <w:rsid w:val="35C86DFF"/>
    <w:rsid w:val="35DB7330"/>
    <w:rsid w:val="35E43729"/>
    <w:rsid w:val="35F0CBCE"/>
    <w:rsid w:val="35F2DEC7"/>
    <w:rsid w:val="35F35166"/>
    <w:rsid w:val="35FC37BB"/>
    <w:rsid w:val="360429C3"/>
    <w:rsid w:val="362A7AC9"/>
    <w:rsid w:val="362DDB5F"/>
    <w:rsid w:val="36371C5A"/>
    <w:rsid w:val="363A3AB9"/>
    <w:rsid w:val="364B8DEE"/>
    <w:rsid w:val="3654CC01"/>
    <w:rsid w:val="3656FA7C"/>
    <w:rsid w:val="365AE357"/>
    <w:rsid w:val="366FCA42"/>
    <w:rsid w:val="36715826"/>
    <w:rsid w:val="368A0F43"/>
    <w:rsid w:val="368F4C0F"/>
    <w:rsid w:val="36912485"/>
    <w:rsid w:val="369EF20C"/>
    <w:rsid w:val="36AA2353"/>
    <w:rsid w:val="36C9B15D"/>
    <w:rsid w:val="36CBCB95"/>
    <w:rsid w:val="36DA8EF4"/>
    <w:rsid w:val="36DCCD28"/>
    <w:rsid w:val="36E1EE3F"/>
    <w:rsid w:val="36E52A74"/>
    <w:rsid w:val="36E67947"/>
    <w:rsid w:val="36EDFDE5"/>
    <w:rsid w:val="36F1B749"/>
    <w:rsid w:val="36F71635"/>
    <w:rsid w:val="36F84F45"/>
    <w:rsid w:val="36FB33D7"/>
    <w:rsid w:val="36FF64BC"/>
    <w:rsid w:val="37037B11"/>
    <w:rsid w:val="371EFD0B"/>
    <w:rsid w:val="371F4E78"/>
    <w:rsid w:val="37219027"/>
    <w:rsid w:val="37233E12"/>
    <w:rsid w:val="37300526"/>
    <w:rsid w:val="3735D64A"/>
    <w:rsid w:val="3736D4E3"/>
    <w:rsid w:val="373AAF49"/>
    <w:rsid w:val="374BA72B"/>
    <w:rsid w:val="37542A1F"/>
    <w:rsid w:val="3764DE1A"/>
    <w:rsid w:val="377DEAB2"/>
    <w:rsid w:val="3798A5F7"/>
    <w:rsid w:val="379963D1"/>
    <w:rsid w:val="37A0D5A1"/>
    <w:rsid w:val="37ACB70E"/>
    <w:rsid w:val="37AFD204"/>
    <w:rsid w:val="37B4CF1E"/>
    <w:rsid w:val="37B73D97"/>
    <w:rsid w:val="37B963A4"/>
    <w:rsid w:val="37D97E17"/>
    <w:rsid w:val="37E757AE"/>
    <w:rsid w:val="37E9DF9F"/>
    <w:rsid w:val="37EB0ED6"/>
    <w:rsid w:val="37FF7FC6"/>
    <w:rsid w:val="38152269"/>
    <w:rsid w:val="382901B3"/>
    <w:rsid w:val="382ACD03"/>
    <w:rsid w:val="3830BF5C"/>
    <w:rsid w:val="38366216"/>
    <w:rsid w:val="3841859C"/>
    <w:rsid w:val="384DA0A1"/>
    <w:rsid w:val="38517751"/>
    <w:rsid w:val="385BC8A1"/>
    <w:rsid w:val="38604094"/>
    <w:rsid w:val="38692D49"/>
    <w:rsid w:val="386AB343"/>
    <w:rsid w:val="386F61FE"/>
    <w:rsid w:val="3878AFDD"/>
    <w:rsid w:val="387ED2B8"/>
    <w:rsid w:val="388B05A6"/>
    <w:rsid w:val="38A18BE0"/>
    <w:rsid w:val="38ACCAAE"/>
    <w:rsid w:val="38B6EF03"/>
    <w:rsid w:val="38C69184"/>
    <w:rsid w:val="38C8044D"/>
    <w:rsid w:val="38CCBBA9"/>
    <w:rsid w:val="38D01908"/>
    <w:rsid w:val="38DB1376"/>
    <w:rsid w:val="38DC47A2"/>
    <w:rsid w:val="38ECA5D8"/>
    <w:rsid w:val="38FEBA64"/>
    <w:rsid w:val="3912FE16"/>
    <w:rsid w:val="3913970F"/>
    <w:rsid w:val="39258363"/>
    <w:rsid w:val="3926BB14"/>
    <w:rsid w:val="392A83FB"/>
    <w:rsid w:val="392B769E"/>
    <w:rsid w:val="392F50F9"/>
    <w:rsid w:val="39351FF5"/>
    <w:rsid w:val="39383BB7"/>
    <w:rsid w:val="3949C19E"/>
    <w:rsid w:val="39617A99"/>
    <w:rsid w:val="396EA894"/>
    <w:rsid w:val="397235DB"/>
    <w:rsid w:val="39988A51"/>
    <w:rsid w:val="399E1507"/>
    <w:rsid w:val="39A259B5"/>
    <w:rsid w:val="39A3B385"/>
    <w:rsid w:val="39A55F98"/>
    <w:rsid w:val="39A6B274"/>
    <w:rsid w:val="39B44F01"/>
    <w:rsid w:val="39B98AB1"/>
    <w:rsid w:val="39BE7282"/>
    <w:rsid w:val="39BEA1DA"/>
    <w:rsid w:val="39C163E4"/>
    <w:rsid w:val="39C70AB1"/>
    <w:rsid w:val="39DA0B20"/>
    <w:rsid w:val="39F09BF1"/>
    <w:rsid w:val="39FB0C64"/>
    <w:rsid w:val="3A048CAA"/>
    <w:rsid w:val="3A087CFE"/>
    <w:rsid w:val="3A0DA17E"/>
    <w:rsid w:val="3A1BFC4A"/>
    <w:rsid w:val="3A23AC49"/>
    <w:rsid w:val="3A274914"/>
    <w:rsid w:val="3A274D15"/>
    <w:rsid w:val="3A33C081"/>
    <w:rsid w:val="3A3C645E"/>
    <w:rsid w:val="3A40935A"/>
    <w:rsid w:val="3A44FC7E"/>
    <w:rsid w:val="3A455241"/>
    <w:rsid w:val="3A510701"/>
    <w:rsid w:val="3A520250"/>
    <w:rsid w:val="3A59579B"/>
    <w:rsid w:val="3A667697"/>
    <w:rsid w:val="3A704653"/>
    <w:rsid w:val="3A7F5BCB"/>
    <w:rsid w:val="3A804CFB"/>
    <w:rsid w:val="3A858255"/>
    <w:rsid w:val="3A8811EF"/>
    <w:rsid w:val="3A8A0F73"/>
    <w:rsid w:val="3A9217FF"/>
    <w:rsid w:val="3A93D9B3"/>
    <w:rsid w:val="3AA5F055"/>
    <w:rsid w:val="3AB2AFA5"/>
    <w:rsid w:val="3ABD3564"/>
    <w:rsid w:val="3ABF5A52"/>
    <w:rsid w:val="3AC76631"/>
    <w:rsid w:val="3AD00837"/>
    <w:rsid w:val="3AD2B4DC"/>
    <w:rsid w:val="3AD504AA"/>
    <w:rsid w:val="3AD57DF1"/>
    <w:rsid w:val="3ADE7251"/>
    <w:rsid w:val="3AE0DE50"/>
    <w:rsid w:val="3AE57E57"/>
    <w:rsid w:val="3AE77D87"/>
    <w:rsid w:val="3AFF68C3"/>
    <w:rsid w:val="3B05D5A9"/>
    <w:rsid w:val="3B06211B"/>
    <w:rsid w:val="3B0C57BB"/>
    <w:rsid w:val="3B11D686"/>
    <w:rsid w:val="3B14140D"/>
    <w:rsid w:val="3B231B61"/>
    <w:rsid w:val="3B2701DB"/>
    <w:rsid w:val="3B32A813"/>
    <w:rsid w:val="3B336715"/>
    <w:rsid w:val="3B3FE118"/>
    <w:rsid w:val="3B41D733"/>
    <w:rsid w:val="3B449D93"/>
    <w:rsid w:val="3B53E05C"/>
    <w:rsid w:val="3B5E1053"/>
    <w:rsid w:val="3B6279FF"/>
    <w:rsid w:val="3B71E347"/>
    <w:rsid w:val="3B788401"/>
    <w:rsid w:val="3B7E3CB4"/>
    <w:rsid w:val="3B8C7330"/>
    <w:rsid w:val="3BAD9227"/>
    <w:rsid w:val="3BCCC9FC"/>
    <w:rsid w:val="3BDB6CC3"/>
    <w:rsid w:val="3BDC5659"/>
    <w:rsid w:val="3BE97EDC"/>
    <w:rsid w:val="3BEB6D9A"/>
    <w:rsid w:val="3BEBDACA"/>
    <w:rsid w:val="3BF4E929"/>
    <w:rsid w:val="3BF69728"/>
    <w:rsid w:val="3BFDBFA3"/>
    <w:rsid w:val="3C077930"/>
    <w:rsid w:val="3C18F3C3"/>
    <w:rsid w:val="3C1974FD"/>
    <w:rsid w:val="3C19E725"/>
    <w:rsid w:val="3C1C4006"/>
    <w:rsid w:val="3C1ED6A5"/>
    <w:rsid w:val="3C2E060D"/>
    <w:rsid w:val="3C3319D9"/>
    <w:rsid w:val="3C344E67"/>
    <w:rsid w:val="3C3C7BC4"/>
    <w:rsid w:val="3C42A1F9"/>
    <w:rsid w:val="3C4B6824"/>
    <w:rsid w:val="3C74922D"/>
    <w:rsid w:val="3C76067B"/>
    <w:rsid w:val="3C85698F"/>
    <w:rsid w:val="3C87BBB1"/>
    <w:rsid w:val="3C8B59C3"/>
    <w:rsid w:val="3C8EEC71"/>
    <w:rsid w:val="3C9427AD"/>
    <w:rsid w:val="3C95BF1E"/>
    <w:rsid w:val="3CAC85F5"/>
    <w:rsid w:val="3CB69EE1"/>
    <w:rsid w:val="3CC076D9"/>
    <w:rsid w:val="3CC7E99B"/>
    <w:rsid w:val="3CCE28DF"/>
    <w:rsid w:val="3CDD12F4"/>
    <w:rsid w:val="3CEDA930"/>
    <w:rsid w:val="3CFF38BA"/>
    <w:rsid w:val="3D048628"/>
    <w:rsid w:val="3D0578E4"/>
    <w:rsid w:val="3D0CECFB"/>
    <w:rsid w:val="3D0E0296"/>
    <w:rsid w:val="3D18CEFC"/>
    <w:rsid w:val="3D231741"/>
    <w:rsid w:val="3D37D032"/>
    <w:rsid w:val="3D3FEF02"/>
    <w:rsid w:val="3D41BFED"/>
    <w:rsid w:val="3D421AB4"/>
    <w:rsid w:val="3D5691C6"/>
    <w:rsid w:val="3D5DEE6A"/>
    <w:rsid w:val="3D5E4E1D"/>
    <w:rsid w:val="3D68A486"/>
    <w:rsid w:val="3D78F809"/>
    <w:rsid w:val="3D82F6C1"/>
    <w:rsid w:val="3D87E258"/>
    <w:rsid w:val="3D909AA6"/>
    <w:rsid w:val="3D939D07"/>
    <w:rsid w:val="3D9A2C79"/>
    <w:rsid w:val="3D9ADEAC"/>
    <w:rsid w:val="3D9E9D5D"/>
    <w:rsid w:val="3DA12479"/>
    <w:rsid w:val="3DA1BB30"/>
    <w:rsid w:val="3DA20EA7"/>
    <w:rsid w:val="3DC1DEA5"/>
    <w:rsid w:val="3DD2DC96"/>
    <w:rsid w:val="3DD86B71"/>
    <w:rsid w:val="3DDE4160"/>
    <w:rsid w:val="3DF4C14A"/>
    <w:rsid w:val="3E1B1A3D"/>
    <w:rsid w:val="3E1DB0C2"/>
    <w:rsid w:val="3E1F653A"/>
    <w:rsid w:val="3E20F37C"/>
    <w:rsid w:val="3E2F8B35"/>
    <w:rsid w:val="3E345F81"/>
    <w:rsid w:val="3E3BCFAC"/>
    <w:rsid w:val="3E3C94B0"/>
    <w:rsid w:val="3E4413F9"/>
    <w:rsid w:val="3E4E691F"/>
    <w:rsid w:val="3E5A5BCA"/>
    <w:rsid w:val="3E5DDC4B"/>
    <w:rsid w:val="3E7AFCD9"/>
    <w:rsid w:val="3E841D74"/>
    <w:rsid w:val="3E9AAAF2"/>
    <w:rsid w:val="3E9BC223"/>
    <w:rsid w:val="3EA4F8E2"/>
    <w:rsid w:val="3EB59699"/>
    <w:rsid w:val="3EBA2274"/>
    <w:rsid w:val="3ECFF5E9"/>
    <w:rsid w:val="3EDAD900"/>
    <w:rsid w:val="3EDDAD79"/>
    <w:rsid w:val="3EE1EE94"/>
    <w:rsid w:val="3EE25106"/>
    <w:rsid w:val="3F068D1D"/>
    <w:rsid w:val="3F0AA1E3"/>
    <w:rsid w:val="3F11F1D0"/>
    <w:rsid w:val="3F14C258"/>
    <w:rsid w:val="3F326DFA"/>
    <w:rsid w:val="3F3E9ACC"/>
    <w:rsid w:val="3F4403F7"/>
    <w:rsid w:val="3F5A66BB"/>
    <w:rsid w:val="3F65378B"/>
    <w:rsid w:val="3F8063FD"/>
    <w:rsid w:val="3F8245A8"/>
    <w:rsid w:val="3F8B9DE5"/>
    <w:rsid w:val="3F93DEA5"/>
    <w:rsid w:val="3F965749"/>
    <w:rsid w:val="3FBAF83C"/>
    <w:rsid w:val="3FBD84F1"/>
    <w:rsid w:val="3FBE254D"/>
    <w:rsid w:val="3FBFF42D"/>
    <w:rsid w:val="3FCAB139"/>
    <w:rsid w:val="3FCC0419"/>
    <w:rsid w:val="3FCF0CCF"/>
    <w:rsid w:val="3FCF1ABA"/>
    <w:rsid w:val="3FD2DB96"/>
    <w:rsid w:val="3FDEA2BC"/>
    <w:rsid w:val="3FE1023E"/>
    <w:rsid w:val="3FE3D7FE"/>
    <w:rsid w:val="3FF2CEAF"/>
    <w:rsid w:val="3FF9CA20"/>
    <w:rsid w:val="400C488D"/>
    <w:rsid w:val="4011466B"/>
    <w:rsid w:val="40120B58"/>
    <w:rsid w:val="40191110"/>
    <w:rsid w:val="40195984"/>
    <w:rsid w:val="4026B6B2"/>
    <w:rsid w:val="4045E73C"/>
    <w:rsid w:val="404BA31A"/>
    <w:rsid w:val="4061688B"/>
    <w:rsid w:val="407BDF43"/>
    <w:rsid w:val="407D4862"/>
    <w:rsid w:val="4080885A"/>
    <w:rsid w:val="40A936B4"/>
    <w:rsid w:val="40AA4EDC"/>
    <w:rsid w:val="40AB028E"/>
    <w:rsid w:val="40B2FA2D"/>
    <w:rsid w:val="40B70F15"/>
    <w:rsid w:val="40B75D6D"/>
    <w:rsid w:val="40CFF74A"/>
    <w:rsid w:val="40D16917"/>
    <w:rsid w:val="40D6489C"/>
    <w:rsid w:val="40DDA7B0"/>
    <w:rsid w:val="40E7857A"/>
    <w:rsid w:val="40F72AAF"/>
    <w:rsid w:val="40FA58CF"/>
    <w:rsid w:val="4105D58E"/>
    <w:rsid w:val="41086AD3"/>
    <w:rsid w:val="4109757C"/>
    <w:rsid w:val="410C6080"/>
    <w:rsid w:val="411F03E8"/>
    <w:rsid w:val="41333059"/>
    <w:rsid w:val="4137A84E"/>
    <w:rsid w:val="4139E3A7"/>
    <w:rsid w:val="4141AF08"/>
    <w:rsid w:val="414A17B5"/>
    <w:rsid w:val="414BDE76"/>
    <w:rsid w:val="414C74AB"/>
    <w:rsid w:val="414F4445"/>
    <w:rsid w:val="4161D647"/>
    <w:rsid w:val="41737B5F"/>
    <w:rsid w:val="41799B4E"/>
    <w:rsid w:val="417A9A34"/>
    <w:rsid w:val="417C0C57"/>
    <w:rsid w:val="4189E6B0"/>
    <w:rsid w:val="419ACCFD"/>
    <w:rsid w:val="419CBB7B"/>
    <w:rsid w:val="41A14E1D"/>
    <w:rsid w:val="41A7D715"/>
    <w:rsid w:val="41A87380"/>
    <w:rsid w:val="41AB8A5B"/>
    <w:rsid w:val="41AE3280"/>
    <w:rsid w:val="41BBE684"/>
    <w:rsid w:val="41C1A3E5"/>
    <w:rsid w:val="41CCD062"/>
    <w:rsid w:val="41D3A47C"/>
    <w:rsid w:val="41E0E800"/>
    <w:rsid w:val="41E11EF4"/>
    <w:rsid w:val="41E12BD7"/>
    <w:rsid w:val="41E705B5"/>
    <w:rsid w:val="41F66E83"/>
    <w:rsid w:val="41FA4F09"/>
    <w:rsid w:val="420AA039"/>
    <w:rsid w:val="420B0B53"/>
    <w:rsid w:val="421BADAF"/>
    <w:rsid w:val="421E2270"/>
    <w:rsid w:val="422FF786"/>
    <w:rsid w:val="422FFB6E"/>
    <w:rsid w:val="4236ECE4"/>
    <w:rsid w:val="4238D798"/>
    <w:rsid w:val="423A88E9"/>
    <w:rsid w:val="423CA610"/>
    <w:rsid w:val="424C4084"/>
    <w:rsid w:val="424FC9C6"/>
    <w:rsid w:val="427ACF0C"/>
    <w:rsid w:val="429A3C1F"/>
    <w:rsid w:val="429B1747"/>
    <w:rsid w:val="429B53A4"/>
    <w:rsid w:val="42B47483"/>
    <w:rsid w:val="42DC98B9"/>
    <w:rsid w:val="42E23092"/>
    <w:rsid w:val="42EA3ABC"/>
    <w:rsid w:val="42F2B6C8"/>
    <w:rsid w:val="42F317DC"/>
    <w:rsid w:val="43131313"/>
    <w:rsid w:val="4317C20E"/>
    <w:rsid w:val="4318FF01"/>
    <w:rsid w:val="43260CE3"/>
    <w:rsid w:val="433F0250"/>
    <w:rsid w:val="434130C2"/>
    <w:rsid w:val="434D5ED0"/>
    <w:rsid w:val="4356937A"/>
    <w:rsid w:val="435BC130"/>
    <w:rsid w:val="435D481E"/>
    <w:rsid w:val="435DEF8F"/>
    <w:rsid w:val="435EA71A"/>
    <w:rsid w:val="436308B6"/>
    <w:rsid w:val="4363A851"/>
    <w:rsid w:val="436A383B"/>
    <w:rsid w:val="4371BA27"/>
    <w:rsid w:val="438D93AC"/>
    <w:rsid w:val="439210B4"/>
    <w:rsid w:val="439F7B3C"/>
    <w:rsid w:val="43B0E409"/>
    <w:rsid w:val="43B69237"/>
    <w:rsid w:val="43C7DE61"/>
    <w:rsid w:val="43CA0626"/>
    <w:rsid w:val="43CB4404"/>
    <w:rsid w:val="43E8D5B0"/>
    <w:rsid w:val="43EE1B5E"/>
    <w:rsid w:val="43FA3D01"/>
    <w:rsid w:val="440D62A7"/>
    <w:rsid w:val="440ECDF1"/>
    <w:rsid w:val="44133314"/>
    <w:rsid w:val="441C7AF1"/>
    <w:rsid w:val="4420D844"/>
    <w:rsid w:val="443350D8"/>
    <w:rsid w:val="4439C423"/>
    <w:rsid w:val="4455AE5B"/>
    <w:rsid w:val="445E9B79"/>
    <w:rsid w:val="44611104"/>
    <w:rsid w:val="4461C32B"/>
    <w:rsid w:val="447523F6"/>
    <w:rsid w:val="447BF8ED"/>
    <w:rsid w:val="44881017"/>
    <w:rsid w:val="448F226E"/>
    <w:rsid w:val="449DD880"/>
    <w:rsid w:val="44C8E0D7"/>
    <w:rsid w:val="44C97F20"/>
    <w:rsid w:val="44C9DBA4"/>
    <w:rsid w:val="44CEF2AB"/>
    <w:rsid w:val="44E9982C"/>
    <w:rsid w:val="44EC4DB7"/>
    <w:rsid w:val="44ED9317"/>
    <w:rsid w:val="44FD8D3F"/>
    <w:rsid w:val="4508DE1D"/>
    <w:rsid w:val="450A3E33"/>
    <w:rsid w:val="450A78EA"/>
    <w:rsid w:val="4512E9DC"/>
    <w:rsid w:val="4513CC7E"/>
    <w:rsid w:val="451AA4EB"/>
    <w:rsid w:val="4527FAEA"/>
    <w:rsid w:val="452D3FB7"/>
    <w:rsid w:val="4530EFD4"/>
    <w:rsid w:val="4535B0A3"/>
    <w:rsid w:val="45363152"/>
    <w:rsid w:val="4537AFED"/>
    <w:rsid w:val="4547FE89"/>
    <w:rsid w:val="4553E23B"/>
    <w:rsid w:val="455C43C7"/>
    <w:rsid w:val="457B73FC"/>
    <w:rsid w:val="458CCC60"/>
    <w:rsid w:val="458CD6DE"/>
    <w:rsid w:val="459ACA53"/>
    <w:rsid w:val="45A04D7B"/>
    <w:rsid w:val="45A2CED1"/>
    <w:rsid w:val="45C8CDED"/>
    <w:rsid w:val="45CC6F08"/>
    <w:rsid w:val="45D1C297"/>
    <w:rsid w:val="45D3C153"/>
    <w:rsid w:val="45F4D848"/>
    <w:rsid w:val="45F5DFDD"/>
    <w:rsid w:val="45FFADC5"/>
    <w:rsid w:val="460999F4"/>
    <w:rsid w:val="46157663"/>
    <w:rsid w:val="46245645"/>
    <w:rsid w:val="4624D60B"/>
    <w:rsid w:val="462F8C0C"/>
    <w:rsid w:val="46334BCD"/>
    <w:rsid w:val="4633AC21"/>
    <w:rsid w:val="464ECE01"/>
    <w:rsid w:val="466426C5"/>
    <w:rsid w:val="4667C58B"/>
    <w:rsid w:val="466B7FF6"/>
    <w:rsid w:val="46753B49"/>
    <w:rsid w:val="468A6C76"/>
    <w:rsid w:val="468C6BB3"/>
    <w:rsid w:val="46949813"/>
    <w:rsid w:val="46A29F29"/>
    <w:rsid w:val="46A8A48A"/>
    <w:rsid w:val="46AAE256"/>
    <w:rsid w:val="46AE1488"/>
    <w:rsid w:val="46B5E3F7"/>
    <w:rsid w:val="46BBAC6C"/>
    <w:rsid w:val="46BEF7D5"/>
    <w:rsid w:val="46C8D2F8"/>
    <w:rsid w:val="46D0EE88"/>
    <w:rsid w:val="46D6F165"/>
    <w:rsid w:val="46DF6029"/>
    <w:rsid w:val="46EA765B"/>
    <w:rsid w:val="46F41F1D"/>
    <w:rsid w:val="46FAF87D"/>
    <w:rsid w:val="471761A1"/>
    <w:rsid w:val="4719ED31"/>
    <w:rsid w:val="4727F344"/>
    <w:rsid w:val="47432351"/>
    <w:rsid w:val="47508A34"/>
    <w:rsid w:val="4753085E"/>
    <w:rsid w:val="4757F2AF"/>
    <w:rsid w:val="475F32AF"/>
    <w:rsid w:val="476A6F86"/>
    <w:rsid w:val="47811B0E"/>
    <w:rsid w:val="478A62B3"/>
    <w:rsid w:val="478C0B36"/>
    <w:rsid w:val="478FF73E"/>
    <w:rsid w:val="4793BB01"/>
    <w:rsid w:val="47A70809"/>
    <w:rsid w:val="47A9EFF0"/>
    <w:rsid w:val="47B0C8B6"/>
    <w:rsid w:val="47BD8E15"/>
    <w:rsid w:val="47D22CBB"/>
    <w:rsid w:val="47D27693"/>
    <w:rsid w:val="47F90772"/>
    <w:rsid w:val="48041687"/>
    <w:rsid w:val="480A048B"/>
    <w:rsid w:val="48196B8B"/>
    <w:rsid w:val="48249BDD"/>
    <w:rsid w:val="483C24A9"/>
    <w:rsid w:val="483D0EB0"/>
    <w:rsid w:val="48431A54"/>
    <w:rsid w:val="4844C114"/>
    <w:rsid w:val="484B7436"/>
    <w:rsid w:val="48532FF9"/>
    <w:rsid w:val="487254F3"/>
    <w:rsid w:val="4874E0EF"/>
    <w:rsid w:val="487C9E25"/>
    <w:rsid w:val="487E7669"/>
    <w:rsid w:val="4880E518"/>
    <w:rsid w:val="48861886"/>
    <w:rsid w:val="488F5056"/>
    <w:rsid w:val="4897245A"/>
    <w:rsid w:val="48989F38"/>
    <w:rsid w:val="48990C14"/>
    <w:rsid w:val="48997478"/>
    <w:rsid w:val="489AC996"/>
    <w:rsid w:val="48A37F90"/>
    <w:rsid w:val="48A8568B"/>
    <w:rsid w:val="48B053E8"/>
    <w:rsid w:val="48B2F68C"/>
    <w:rsid w:val="48B8DA31"/>
    <w:rsid w:val="48C0D9F9"/>
    <w:rsid w:val="48C1126C"/>
    <w:rsid w:val="48C51114"/>
    <w:rsid w:val="48CCB774"/>
    <w:rsid w:val="48E93F98"/>
    <w:rsid w:val="48FABC23"/>
    <w:rsid w:val="4900C820"/>
    <w:rsid w:val="49035F44"/>
    <w:rsid w:val="4906B456"/>
    <w:rsid w:val="490D7EC1"/>
    <w:rsid w:val="49130767"/>
    <w:rsid w:val="4942CCF6"/>
    <w:rsid w:val="49464BB5"/>
    <w:rsid w:val="494BC26D"/>
    <w:rsid w:val="494E583E"/>
    <w:rsid w:val="495692C5"/>
    <w:rsid w:val="4968D3B3"/>
    <w:rsid w:val="497317B3"/>
    <w:rsid w:val="497A6F4D"/>
    <w:rsid w:val="497D13BD"/>
    <w:rsid w:val="498B0B96"/>
    <w:rsid w:val="49907402"/>
    <w:rsid w:val="49A4D5BD"/>
    <w:rsid w:val="49B02E01"/>
    <w:rsid w:val="49B91BA2"/>
    <w:rsid w:val="49BCA5DA"/>
    <w:rsid w:val="49CE1760"/>
    <w:rsid w:val="49CE6CB8"/>
    <w:rsid w:val="49ED500E"/>
    <w:rsid w:val="49F79E0B"/>
    <w:rsid w:val="49F878D2"/>
    <w:rsid w:val="4A026DF2"/>
    <w:rsid w:val="4A0CACCB"/>
    <w:rsid w:val="4A13E383"/>
    <w:rsid w:val="4A19B3AC"/>
    <w:rsid w:val="4A248772"/>
    <w:rsid w:val="4A252B18"/>
    <w:rsid w:val="4A308E7E"/>
    <w:rsid w:val="4A3A6EB2"/>
    <w:rsid w:val="4A3B5E09"/>
    <w:rsid w:val="4A4E262C"/>
    <w:rsid w:val="4A61ED47"/>
    <w:rsid w:val="4A6607D6"/>
    <w:rsid w:val="4A7070E4"/>
    <w:rsid w:val="4A74C04C"/>
    <w:rsid w:val="4A78D637"/>
    <w:rsid w:val="4A8D9E16"/>
    <w:rsid w:val="4A8E2D17"/>
    <w:rsid w:val="4A927529"/>
    <w:rsid w:val="4AA99AAC"/>
    <w:rsid w:val="4AB9CA04"/>
    <w:rsid w:val="4ADC1475"/>
    <w:rsid w:val="4AEE8A75"/>
    <w:rsid w:val="4AF1CF52"/>
    <w:rsid w:val="4AF6A3A2"/>
    <w:rsid w:val="4AFD3D8A"/>
    <w:rsid w:val="4B006510"/>
    <w:rsid w:val="4B0840DA"/>
    <w:rsid w:val="4B0A0B2A"/>
    <w:rsid w:val="4B0CF9A1"/>
    <w:rsid w:val="4B1165BC"/>
    <w:rsid w:val="4B1801B4"/>
    <w:rsid w:val="4B1ABA8F"/>
    <w:rsid w:val="4B22D046"/>
    <w:rsid w:val="4B259DCD"/>
    <w:rsid w:val="4B34ED50"/>
    <w:rsid w:val="4B35B80D"/>
    <w:rsid w:val="4B4CDC56"/>
    <w:rsid w:val="4B520BBE"/>
    <w:rsid w:val="4B556A48"/>
    <w:rsid w:val="4B575003"/>
    <w:rsid w:val="4B6B3CB6"/>
    <w:rsid w:val="4B85DB1D"/>
    <w:rsid w:val="4B92D4E6"/>
    <w:rsid w:val="4B97B85C"/>
    <w:rsid w:val="4B994A7D"/>
    <w:rsid w:val="4BA84F4C"/>
    <w:rsid w:val="4BA8576E"/>
    <w:rsid w:val="4BB4CC8D"/>
    <w:rsid w:val="4BB91B4C"/>
    <w:rsid w:val="4BBC0D57"/>
    <w:rsid w:val="4BBC51FE"/>
    <w:rsid w:val="4BC0E54E"/>
    <w:rsid w:val="4BCD3408"/>
    <w:rsid w:val="4BD91B14"/>
    <w:rsid w:val="4BDB6517"/>
    <w:rsid w:val="4BE0E525"/>
    <w:rsid w:val="4BE4254A"/>
    <w:rsid w:val="4BE86685"/>
    <w:rsid w:val="4C15C1D7"/>
    <w:rsid w:val="4C18662E"/>
    <w:rsid w:val="4C1A9937"/>
    <w:rsid w:val="4C1B19FD"/>
    <w:rsid w:val="4C244767"/>
    <w:rsid w:val="4C4D1928"/>
    <w:rsid w:val="4C4F747A"/>
    <w:rsid w:val="4C53A435"/>
    <w:rsid w:val="4C6E3C90"/>
    <w:rsid w:val="4C783A1E"/>
    <w:rsid w:val="4C96D62C"/>
    <w:rsid w:val="4CAAE6F4"/>
    <w:rsid w:val="4CAAEC57"/>
    <w:rsid w:val="4CB2E255"/>
    <w:rsid w:val="4CCAF67A"/>
    <w:rsid w:val="4CD58AEE"/>
    <w:rsid w:val="4CE88DA3"/>
    <w:rsid w:val="4CFD6CDA"/>
    <w:rsid w:val="4CFEAD26"/>
    <w:rsid w:val="4D018797"/>
    <w:rsid w:val="4D1DE245"/>
    <w:rsid w:val="4D342364"/>
    <w:rsid w:val="4D35D266"/>
    <w:rsid w:val="4D40A898"/>
    <w:rsid w:val="4D49B3DB"/>
    <w:rsid w:val="4D54B4ED"/>
    <w:rsid w:val="4D604A95"/>
    <w:rsid w:val="4D63259C"/>
    <w:rsid w:val="4D66780C"/>
    <w:rsid w:val="4D6B5B21"/>
    <w:rsid w:val="4D724D1E"/>
    <w:rsid w:val="4D7A0AC5"/>
    <w:rsid w:val="4D7C85CC"/>
    <w:rsid w:val="4D878329"/>
    <w:rsid w:val="4D8A5968"/>
    <w:rsid w:val="4D93B902"/>
    <w:rsid w:val="4D93F8AB"/>
    <w:rsid w:val="4D9C08BF"/>
    <w:rsid w:val="4DA01C24"/>
    <w:rsid w:val="4DA76F9B"/>
    <w:rsid w:val="4DAC39EE"/>
    <w:rsid w:val="4DB6CE73"/>
    <w:rsid w:val="4DBC35E8"/>
    <w:rsid w:val="4DC5AB8E"/>
    <w:rsid w:val="4DDFA1E6"/>
    <w:rsid w:val="4DEF79DE"/>
    <w:rsid w:val="4DF6A137"/>
    <w:rsid w:val="4DFBAF7B"/>
    <w:rsid w:val="4E0C0CCE"/>
    <w:rsid w:val="4E192C9E"/>
    <w:rsid w:val="4E31E9B8"/>
    <w:rsid w:val="4E375689"/>
    <w:rsid w:val="4E3C1A93"/>
    <w:rsid w:val="4E3EE7E0"/>
    <w:rsid w:val="4E4C1595"/>
    <w:rsid w:val="4E4CB720"/>
    <w:rsid w:val="4E5004FD"/>
    <w:rsid w:val="4E5A34EB"/>
    <w:rsid w:val="4E65CC96"/>
    <w:rsid w:val="4E68713F"/>
    <w:rsid w:val="4E71F502"/>
    <w:rsid w:val="4E769BFC"/>
    <w:rsid w:val="4E7E9186"/>
    <w:rsid w:val="4E865BF6"/>
    <w:rsid w:val="4E9D0C6B"/>
    <w:rsid w:val="4E9EC057"/>
    <w:rsid w:val="4E9FB32D"/>
    <w:rsid w:val="4EA9252C"/>
    <w:rsid w:val="4EACFCA4"/>
    <w:rsid w:val="4EB325F2"/>
    <w:rsid w:val="4EB87D84"/>
    <w:rsid w:val="4EBB9AD4"/>
    <w:rsid w:val="4EC3EF59"/>
    <w:rsid w:val="4EC6E23B"/>
    <w:rsid w:val="4ED73D11"/>
    <w:rsid w:val="4EEC7104"/>
    <w:rsid w:val="4EF64165"/>
    <w:rsid w:val="4F00B17E"/>
    <w:rsid w:val="4F01D3EA"/>
    <w:rsid w:val="4F135521"/>
    <w:rsid w:val="4F209179"/>
    <w:rsid w:val="4F2BA845"/>
    <w:rsid w:val="4F426C3D"/>
    <w:rsid w:val="4F51F4C2"/>
    <w:rsid w:val="4F560F6E"/>
    <w:rsid w:val="4F5E28B7"/>
    <w:rsid w:val="4F7C3299"/>
    <w:rsid w:val="4F7DA5A4"/>
    <w:rsid w:val="4F7DB17D"/>
    <w:rsid w:val="4F7F450D"/>
    <w:rsid w:val="4F83708B"/>
    <w:rsid w:val="4F869735"/>
    <w:rsid w:val="4F9AE06C"/>
    <w:rsid w:val="4F9EEAC1"/>
    <w:rsid w:val="4FA13570"/>
    <w:rsid w:val="4FB2084F"/>
    <w:rsid w:val="4FB40CF8"/>
    <w:rsid w:val="4FBD5EF4"/>
    <w:rsid w:val="4FC060B0"/>
    <w:rsid w:val="4FC6C08E"/>
    <w:rsid w:val="4FDF5994"/>
    <w:rsid w:val="4FDF706B"/>
    <w:rsid w:val="4FE0762B"/>
    <w:rsid w:val="4FE60EB8"/>
    <w:rsid w:val="4FF2BCBC"/>
    <w:rsid w:val="4FFBB4ED"/>
    <w:rsid w:val="500459FE"/>
    <w:rsid w:val="5009590B"/>
    <w:rsid w:val="501F1E5F"/>
    <w:rsid w:val="502EB82F"/>
    <w:rsid w:val="50370678"/>
    <w:rsid w:val="50395305"/>
    <w:rsid w:val="503D6D97"/>
    <w:rsid w:val="5040276F"/>
    <w:rsid w:val="50447048"/>
    <w:rsid w:val="504A44AB"/>
    <w:rsid w:val="504D4DAB"/>
    <w:rsid w:val="5065E24F"/>
    <w:rsid w:val="506F1E52"/>
    <w:rsid w:val="5070EE66"/>
    <w:rsid w:val="5071E29A"/>
    <w:rsid w:val="50753DB1"/>
    <w:rsid w:val="5077D1A3"/>
    <w:rsid w:val="507AB773"/>
    <w:rsid w:val="507D1F76"/>
    <w:rsid w:val="507D6FB3"/>
    <w:rsid w:val="5084D46C"/>
    <w:rsid w:val="50855C37"/>
    <w:rsid w:val="50A231A4"/>
    <w:rsid w:val="50C33433"/>
    <w:rsid w:val="50C7EDF5"/>
    <w:rsid w:val="50CA84D7"/>
    <w:rsid w:val="50CB0EA1"/>
    <w:rsid w:val="50CB4040"/>
    <w:rsid w:val="50DB8A7B"/>
    <w:rsid w:val="50ED7B34"/>
    <w:rsid w:val="50F64AB8"/>
    <w:rsid w:val="50FBF675"/>
    <w:rsid w:val="511B3684"/>
    <w:rsid w:val="5122C15D"/>
    <w:rsid w:val="51231F7F"/>
    <w:rsid w:val="51328924"/>
    <w:rsid w:val="51351C5B"/>
    <w:rsid w:val="513A136A"/>
    <w:rsid w:val="513AA4BD"/>
    <w:rsid w:val="51465457"/>
    <w:rsid w:val="514D69D3"/>
    <w:rsid w:val="514FE3FF"/>
    <w:rsid w:val="515CE1B5"/>
    <w:rsid w:val="5162C881"/>
    <w:rsid w:val="5168A8D3"/>
    <w:rsid w:val="516CA905"/>
    <w:rsid w:val="5185A962"/>
    <w:rsid w:val="518F336B"/>
    <w:rsid w:val="51954F2C"/>
    <w:rsid w:val="51975143"/>
    <w:rsid w:val="51A2576A"/>
    <w:rsid w:val="51ABD626"/>
    <w:rsid w:val="51B3348B"/>
    <w:rsid w:val="51CA4CAB"/>
    <w:rsid w:val="51D7747E"/>
    <w:rsid w:val="51E045CA"/>
    <w:rsid w:val="51F2AEAA"/>
    <w:rsid w:val="51F5B5FA"/>
    <w:rsid w:val="5219CCAA"/>
    <w:rsid w:val="521D42BF"/>
    <w:rsid w:val="5223F3EA"/>
    <w:rsid w:val="52245AAA"/>
    <w:rsid w:val="52272B38"/>
    <w:rsid w:val="522BEDE0"/>
    <w:rsid w:val="5230CA6B"/>
    <w:rsid w:val="52438542"/>
    <w:rsid w:val="524714EB"/>
    <w:rsid w:val="5250433A"/>
    <w:rsid w:val="525A893E"/>
    <w:rsid w:val="525F6F18"/>
    <w:rsid w:val="5273EAB8"/>
    <w:rsid w:val="52824364"/>
    <w:rsid w:val="528A2AF6"/>
    <w:rsid w:val="52946760"/>
    <w:rsid w:val="529B9125"/>
    <w:rsid w:val="52A7FEB1"/>
    <w:rsid w:val="52ACD332"/>
    <w:rsid w:val="52B47626"/>
    <w:rsid w:val="52B50688"/>
    <w:rsid w:val="52B50B5B"/>
    <w:rsid w:val="52B68BB9"/>
    <w:rsid w:val="52B81E17"/>
    <w:rsid w:val="52BD3635"/>
    <w:rsid w:val="52C01887"/>
    <w:rsid w:val="52D51410"/>
    <w:rsid w:val="52E34657"/>
    <w:rsid w:val="52EB8DFD"/>
    <w:rsid w:val="52F23F59"/>
    <w:rsid w:val="52F5AD01"/>
    <w:rsid w:val="52F739B7"/>
    <w:rsid w:val="52FBD863"/>
    <w:rsid w:val="5334E312"/>
    <w:rsid w:val="53398197"/>
    <w:rsid w:val="533FF906"/>
    <w:rsid w:val="5343CEE9"/>
    <w:rsid w:val="535485CD"/>
    <w:rsid w:val="535B6208"/>
    <w:rsid w:val="535C3DF5"/>
    <w:rsid w:val="5366CEFD"/>
    <w:rsid w:val="53686360"/>
    <w:rsid w:val="53687523"/>
    <w:rsid w:val="53759308"/>
    <w:rsid w:val="5377A942"/>
    <w:rsid w:val="537F5A56"/>
    <w:rsid w:val="53834809"/>
    <w:rsid w:val="5389B34C"/>
    <w:rsid w:val="538C9D25"/>
    <w:rsid w:val="538CB58D"/>
    <w:rsid w:val="538E2FBA"/>
    <w:rsid w:val="538F5F72"/>
    <w:rsid w:val="5392A4A7"/>
    <w:rsid w:val="5392F50D"/>
    <w:rsid w:val="539371E7"/>
    <w:rsid w:val="5394C4EC"/>
    <w:rsid w:val="53981F30"/>
    <w:rsid w:val="539E628A"/>
    <w:rsid w:val="53A6F48D"/>
    <w:rsid w:val="53ACB527"/>
    <w:rsid w:val="53B2871B"/>
    <w:rsid w:val="53C28945"/>
    <w:rsid w:val="53DDA468"/>
    <w:rsid w:val="53DDBE7B"/>
    <w:rsid w:val="53ED2005"/>
    <w:rsid w:val="53ED7599"/>
    <w:rsid w:val="53F97E34"/>
    <w:rsid w:val="54056EB4"/>
    <w:rsid w:val="540AACF7"/>
    <w:rsid w:val="540AAEBF"/>
    <w:rsid w:val="540ACC39"/>
    <w:rsid w:val="541A4BA3"/>
    <w:rsid w:val="544BB177"/>
    <w:rsid w:val="546BE445"/>
    <w:rsid w:val="548B7C42"/>
    <w:rsid w:val="549372D5"/>
    <w:rsid w:val="5493D1EA"/>
    <w:rsid w:val="54A0F785"/>
    <w:rsid w:val="54A3F732"/>
    <w:rsid w:val="54A808DC"/>
    <w:rsid w:val="54AF1605"/>
    <w:rsid w:val="54B1BA13"/>
    <w:rsid w:val="54B78E4D"/>
    <w:rsid w:val="54BAE196"/>
    <w:rsid w:val="54C19F17"/>
    <w:rsid w:val="54C24BE4"/>
    <w:rsid w:val="54C9D678"/>
    <w:rsid w:val="54D8A00E"/>
    <w:rsid w:val="54DD039D"/>
    <w:rsid w:val="54E4A71D"/>
    <w:rsid w:val="54E63AFB"/>
    <w:rsid w:val="54EA8C33"/>
    <w:rsid w:val="54F136E2"/>
    <w:rsid w:val="54F554E2"/>
    <w:rsid w:val="54FAE1C4"/>
    <w:rsid w:val="54FF4E60"/>
    <w:rsid w:val="550575EA"/>
    <w:rsid w:val="550A12C2"/>
    <w:rsid w:val="5514C851"/>
    <w:rsid w:val="551E9FE5"/>
    <w:rsid w:val="552132CB"/>
    <w:rsid w:val="5528EB2B"/>
    <w:rsid w:val="552C2528"/>
    <w:rsid w:val="552FE666"/>
    <w:rsid w:val="553FCAAC"/>
    <w:rsid w:val="553FEE49"/>
    <w:rsid w:val="55411F0B"/>
    <w:rsid w:val="55449128"/>
    <w:rsid w:val="554F6BC9"/>
    <w:rsid w:val="555BCE86"/>
    <w:rsid w:val="555C3EEF"/>
    <w:rsid w:val="5564555A"/>
    <w:rsid w:val="556AA4D8"/>
    <w:rsid w:val="558A4E8C"/>
    <w:rsid w:val="5592E35A"/>
    <w:rsid w:val="559A0E05"/>
    <w:rsid w:val="559A98F8"/>
    <w:rsid w:val="55A0BCF1"/>
    <w:rsid w:val="55A317AC"/>
    <w:rsid w:val="55A5B431"/>
    <w:rsid w:val="55A9D00D"/>
    <w:rsid w:val="55B7F101"/>
    <w:rsid w:val="55B9E207"/>
    <w:rsid w:val="55BC356C"/>
    <w:rsid w:val="55C4AFCB"/>
    <w:rsid w:val="55C6F1BC"/>
    <w:rsid w:val="55CC6EA7"/>
    <w:rsid w:val="55CF9075"/>
    <w:rsid w:val="55D344C9"/>
    <w:rsid w:val="55D6EE47"/>
    <w:rsid w:val="55E565D1"/>
    <w:rsid w:val="55E6BD10"/>
    <w:rsid w:val="55E87EA1"/>
    <w:rsid w:val="55EB096E"/>
    <w:rsid w:val="55ECF962"/>
    <w:rsid w:val="55EFE479"/>
    <w:rsid w:val="55F56F1F"/>
    <w:rsid w:val="55F5F590"/>
    <w:rsid w:val="55F98E7B"/>
    <w:rsid w:val="5602EE11"/>
    <w:rsid w:val="5603640D"/>
    <w:rsid w:val="560898CE"/>
    <w:rsid w:val="560FFDDD"/>
    <w:rsid w:val="5611F6C5"/>
    <w:rsid w:val="561F21DF"/>
    <w:rsid w:val="56232253"/>
    <w:rsid w:val="562BC349"/>
    <w:rsid w:val="5633466B"/>
    <w:rsid w:val="563F295B"/>
    <w:rsid w:val="564A46FA"/>
    <w:rsid w:val="564E733B"/>
    <w:rsid w:val="56549F6F"/>
    <w:rsid w:val="565C30A9"/>
    <w:rsid w:val="566ACA2D"/>
    <w:rsid w:val="56780AF7"/>
    <w:rsid w:val="567A6030"/>
    <w:rsid w:val="568572FF"/>
    <w:rsid w:val="56890376"/>
    <w:rsid w:val="56901BE9"/>
    <w:rsid w:val="5697E9E8"/>
    <w:rsid w:val="569D7628"/>
    <w:rsid w:val="569EA50E"/>
    <w:rsid w:val="56A96662"/>
    <w:rsid w:val="56A9EFE6"/>
    <w:rsid w:val="56AD97E6"/>
    <w:rsid w:val="56B2C5EA"/>
    <w:rsid w:val="56C1E07C"/>
    <w:rsid w:val="56CC0CCC"/>
    <w:rsid w:val="56CFED0B"/>
    <w:rsid w:val="56DFBE38"/>
    <w:rsid w:val="56E4571F"/>
    <w:rsid w:val="56E9B705"/>
    <w:rsid w:val="56FF3EBA"/>
    <w:rsid w:val="56FF598A"/>
    <w:rsid w:val="57004BDA"/>
    <w:rsid w:val="570DB8EB"/>
    <w:rsid w:val="57128180"/>
    <w:rsid w:val="5713BE87"/>
    <w:rsid w:val="57193D9D"/>
    <w:rsid w:val="57198834"/>
    <w:rsid w:val="57429D8B"/>
    <w:rsid w:val="5743672E"/>
    <w:rsid w:val="5744A92B"/>
    <w:rsid w:val="5744DAE4"/>
    <w:rsid w:val="574FD27C"/>
    <w:rsid w:val="575F0EF3"/>
    <w:rsid w:val="575FF98C"/>
    <w:rsid w:val="57665C98"/>
    <w:rsid w:val="57759EE8"/>
    <w:rsid w:val="57785964"/>
    <w:rsid w:val="577B5BF4"/>
    <w:rsid w:val="5787F714"/>
    <w:rsid w:val="5791627B"/>
    <w:rsid w:val="57962075"/>
    <w:rsid w:val="5796A3F8"/>
    <w:rsid w:val="57977AD7"/>
    <w:rsid w:val="579EA367"/>
    <w:rsid w:val="57A85F62"/>
    <w:rsid w:val="57ABD692"/>
    <w:rsid w:val="57B08E3E"/>
    <w:rsid w:val="57B2F54F"/>
    <w:rsid w:val="57BBF86B"/>
    <w:rsid w:val="57BE421E"/>
    <w:rsid w:val="57D7A19B"/>
    <w:rsid w:val="57DF92AC"/>
    <w:rsid w:val="57E724DD"/>
    <w:rsid w:val="57E72EE6"/>
    <w:rsid w:val="57E8B901"/>
    <w:rsid w:val="57E8F876"/>
    <w:rsid w:val="57FBCD12"/>
    <w:rsid w:val="5805B790"/>
    <w:rsid w:val="5806D643"/>
    <w:rsid w:val="5807FA43"/>
    <w:rsid w:val="580E7A4B"/>
    <w:rsid w:val="58118AC6"/>
    <w:rsid w:val="581FA2C7"/>
    <w:rsid w:val="583772B3"/>
    <w:rsid w:val="58515BD1"/>
    <w:rsid w:val="585165C8"/>
    <w:rsid w:val="585311D2"/>
    <w:rsid w:val="58540259"/>
    <w:rsid w:val="5856F9F8"/>
    <w:rsid w:val="5869DC91"/>
    <w:rsid w:val="5870BD48"/>
    <w:rsid w:val="5871FE35"/>
    <w:rsid w:val="587CBBA8"/>
    <w:rsid w:val="5887B7F7"/>
    <w:rsid w:val="5892285C"/>
    <w:rsid w:val="58C10F26"/>
    <w:rsid w:val="58C725FA"/>
    <w:rsid w:val="58CE220C"/>
    <w:rsid w:val="58DCCA92"/>
    <w:rsid w:val="58E0BEF6"/>
    <w:rsid w:val="58E6C1D7"/>
    <w:rsid w:val="58EE805F"/>
    <w:rsid w:val="59126CA8"/>
    <w:rsid w:val="591E30EC"/>
    <w:rsid w:val="592BE1AF"/>
    <w:rsid w:val="593261B4"/>
    <w:rsid w:val="5934D4C3"/>
    <w:rsid w:val="5937FE74"/>
    <w:rsid w:val="59404A0F"/>
    <w:rsid w:val="594FBC54"/>
    <w:rsid w:val="59581E39"/>
    <w:rsid w:val="5963E86E"/>
    <w:rsid w:val="59665AF7"/>
    <w:rsid w:val="59671D2F"/>
    <w:rsid w:val="596E6069"/>
    <w:rsid w:val="5975C41E"/>
    <w:rsid w:val="5984DBB5"/>
    <w:rsid w:val="5989C279"/>
    <w:rsid w:val="598E1FAA"/>
    <w:rsid w:val="59905BDE"/>
    <w:rsid w:val="59A203BB"/>
    <w:rsid w:val="59A6B977"/>
    <w:rsid w:val="59AF6E13"/>
    <w:rsid w:val="59B1B4F1"/>
    <w:rsid w:val="59B20762"/>
    <w:rsid w:val="59B2C17C"/>
    <w:rsid w:val="59BD228F"/>
    <w:rsid w:val="59C19B91"/>
    <w:rsid w:val="59C3EA8F"/>
    <w:rsid w:val="59CACD57"/>
    <w:rsid w:val="59D17BA6"/>
    <w:rsid w:val="59D9DFBB"/>
    <w:rsid w:val="59F169C9"/>
    <w:rsid w:val="5A038C64"/>
    <w:rsid w:val="5A0ED348"/>
    <w:rsid w:val="5A269D29"/>
    <w:rsid w:val="5A2900EE"/>
    <w:rsid w:val="5A398196"/>
    <w:rsid w:val="5A4EEE0B"/>
    <w:rsid w:val="5A5DD48E"/>
    <w:rsid w:val="5A603182"/>
    <w:rsid w:val="5A67B475"/>
    <w:rsid w:val="5A6F69C6"/>
    <w:rsid w:val="5A77E68B"/>
    <w:rsid w:val="5A8C5B08"/>
    <w:rsid w:val="5A915D54"/>
    <w:rsid w:val="5AA85954"/>
    <w:rsid w:val="5AA96BD2"/>
    <w:rsid w:val="5AABD0BB"/>
    <w:rsid w:val="5AD38508"/>
    <w:rsid w:val="5AD6188B"/>
    <w:rsid w:val="5AD8348E"/>
    <w:rsid w:val="5AD9CBE4"/>
    <w:rsid w:val="5AE187FD"/>
    <w:rsid w:val="5AEEFDAA"/>
    <w:rsid w:val="5AF089B1"/>
    <w:rsid w:val="5AF0A3BB"/>
    <w:rsid w:val="5AFA41C9"/>
    <w:rsid w:val="5B1128D5"/>
    <w:rsid w:val="5B2AC9A4"/>
    <w:rsid w:val="5B318523"/>
    <w:rsid w:val="5B3761F4"/>
    <w:rsid w:val="5B451EAD"/>
    <w:rsid w:val="5B453A05"/>
    <w:rsid w:val="5B4D7489"/>
    <w:rsid w:val="5B5655EE"/>
    <w:rsid w:val="5B5B0E6B"/>
    <w:rsid w:val="5B5E87DE"/>
    <w:rsid w:val="5B62AAC5"/>
    <w:rsid w:val="5B682B3D"/>
    <w:rsid w:val="5B6E8264"/>
    <w:rsid w:val="5B6FD814"/>
    <w:rsid w:val="5B82C874"/>
    <w:rsid w:val="5B896FBD"/>
    <w:rsid w:val="5B93FB62"/>
    <w:rsid w:val="5BA839DA"/>
    <w:rsid w:val="5BAE9F6C"/>
    <w:rsid w:val="5BB24EFA"/>
    <w:rsid w:val="5BB3766B"/>
    <w:rsid w:val="5BB5AA29"/>
    <w:rsid w:val="5BB8B0BC"/>
    <w:rsid w:val="5BC461A3"/>
    <w:rsid w:val="5BC9D4B9"/>
    <w:rsid w:val="5BCA3586"/>
    <w:rsid w:val="5BCCEC87"/>
    <w:rsid w:val="5BD23A74"/>
    <w:rsid w:val="5BD5CE04"/>
    <w:rsid w:val="5BD70284"/>
    <w:rsid w:val="5BDFC442"/>
    <w:rsid w:val="5BEC999A"/>
    <w:rsid w:val="5C01D117"/>
    <w:rsid w:val="5C059F0B"/>
    <w:rsid w:val="5C0D0515"/>
    <w:rsid w:val="5C13367D"/>
    <w:rsid w:val="5C25E570"/>
    <w:rsid w:val="5C2B8BD5"/>
    <w:rsid w:val="5C2F07B7"/>
    <w:rsid w:val="5C335AF7"/>
    <w:rsid w:val="5C390143"/>
    <w:rsid w:val="5C3D8555"/>
    <w:rsid w:val="5C3FFE29"/>
    <w:rsid w:val="5C439229"/>
    <w:rsid w:val="5C4989C7"/>
    <w:rsid w:val="5C4F3283"/>
    <w:rsid w:val="5C5153E1"/>
    <w:rsid w:val="5C5639E9"/>
    <w:rsid w:val="5C5FD6FF"/>
    <w:rsid w:val="5C632864"/>
    <w:rsid w:val="5C731B8B"/>
    <w:rsid w:val="5C78B7E9"/>
    <w:rsid w:val="5C8286F7"/>
    <w:rsid w:val="5C9122AC"/>
    <w:rsid w:val="5C91636C"/>
    <w:rsid w:val="5CA28C8C"/>
    <w:rsid w:val="5CAA70F8"/>
    <w:rsid w:val="5CB28725"/>
    <w:rsid w:val="5CB5520B"/>
    <w:rsid w:val="5CB97F70"/>
    <w:rsid w:val="5CE0AAD0"/>
    <w:rsid w:val="5CE65521"/>
    <w:rsid w:val="5CF18F97"/>
    <w:rsid w:val="5CF73994"/>
    <w:rsid w:val="5CF7E59A"/>
    <w:rsid w:val="5D00E24C"/>
    <w:rsid w:val="5D096A0B"/>
    <w:rsid w:val="5D0D4B0C"/>
    <w:rsid w:val="5D20C287"/>
    <w:rsid w:val="5D20C5A6"/>
    <w:rsid w:val="5D23D103"/>
    <w:rsid w:val="5D39DE83"/>
    <w:rsid w:val="5D4171BA"/>
    <w:rsid w:val="5D4307B6"/>
    <w:rsid w:val="5D43BF32"/>
    <w:rsid w:val="5D563078"/>
    <w:rsid w:val="5D5815B4"/>
    <w:rsid w:val="5D58ED1E"/>
    <w:rsid w:val="5D64A8CC"/>
    <w:rsid w:val="5D6736C9"/>
    <w:rsid w:val="5D6F909F"/>
    <w:rsid w:val="5D71DB08"/>
    <w:rsid w:val="5D78FB84"/>
    <w:rsid w:val="5D813EB7"/>
    <w:rsid w:val="5D8209BA"/>
    <w:rsid w:val="5D8DA4BA"/>
    <w:rsid w:val="5D8EA863"/>
    <w:rsid w:val="5D95CB79"/>
    <w:rsid w:val="5D9F4A0F"/>
    <w:rsid w:val="5DA77F93"/>
    <w:rsid w:val="5DA7C587"/>
    <w:rsid w:val="5DAF1818"/>
    <w:rsid w:val="5DB5846C"/>
    <w:rsid w:val="5DB93858"/>
    <w:rsid w:val="5DBA2F5A"/>
    <w:rsid w:val="5DC56983"/>
    <w:rsid w:val="5DD3D3C0"/>
    <w:rsid w:val="5DDF6023"/>
    <w:rsid w:val="5DE0B991"/>
    <w:rsid w:val="5DE22C94"/>
    <w:rsid w:val="5DE787F3"/>
    <w:rsid w:val="5DEA8C5C"/>
    <w:rsid w:val="5DEE43B4"/>
    <w:rsid w:val="5DF34993"/>
    <w:rsid w:val="5E043054"/>
    <w:rsid w:val="5E177076"/>
    <w:rsid w:val="5E21B456"/>
    <w:rsid w:val="5E257926"/>
    <w:rsid w:val="5E2C6E00"/>
    <w:rsid w:val="5E35CC0A"/>
    <w:rsid w:val="5E362894"/>
    <w:rsid w:val="5E46E536"/>
    <w:rsid w:val="5E530351"/>
    <w:rsid w:val="5E5DD413"/>
    <w:rsid w:val="5E607F21"/>
    <w:rsid w:val="5E65939A"/>
    <w:rsid w:val="5E6AB8FC"/>
    <w:rsid w:val="5E6DB8B1"/>
    <w:rsid w:val="5E7E512C"/>
    <w:rsid w:val="5E89F69B"/>
    <w:rsid w:val="5E921258"/>
    <w:rsid w:val="5E941919"/>
    <w:rsid w:val="5E993FCD"/>
    <w:rsid w:val="5EA21478"/>
    <w:rsid w:val="5EA61D62"/>
    <w:rsid w:val="5EAB9ECB"/>
    <w:rsid w:val="5EC9CFC8"/>
    <w:rsid w:val="5ED1BEA5"/>
    <w:rsid w:val="5ED9E29F"/>
    <w:rsid w:val="5EE09BE8"/>
    <w:rsid w:val="5EE60E62"/>
    <w:rsid w:val="5EE811FA"/>
    <w:rsid w:val="5EEB4E97"/>
    <w:rsid w:val="5F01BE46"/>
    <w:rsid w:val="5F047B34"/>
    <w:rsid w:val="5F11EC03"/>
    <w:rsid w:val="5F176373"/>
    <w:rsid w:val="5F2087B0"/>
    <w:rsid w:val="5F2099DC"/>
    <w:rsid w:val="5F232F60"/>
    <w:rsid w:val="5F2ADC92"/>
    <w:rsid w:val="5F2EECE9"/>
    <w:rsid w:val="5F3CCF7B"/>
    <w:rsid w:val="5F400098"/>
    <w:rsid w:val="5F43A40E"/>
    <w:rsid w:val="5F461F73"/>
    <w:rsid w:val="5F499EE4"/>
    <w:rsid w:val="5F4E7E72"/>
    <w:rsid w:val="5F54DC4C"/>
    <w:rsid w:val="5F5A6296"/>
    <w:rsid w:val="5F6C9212"/>
    <w:rsid w:val="5F7349BD"/>
    <w:rsid w:val="5F747E85"/>
    <w:rsid w:val="5F7B9CCF"/>
    <w:rsid w:val="5F817BE5"/>
    <w:rsid w:val="5F897C8F"/>
    <w:rsid w:val="5F94E8E8"/>
    <w:rsid w:val="5FA5157E"/>
    <w:rsid w:val="5FB2F48D"/>
    <w:rsid w:val="5FBA0476"/>
    <w:rsid w:val="5FBBD99C"/>
    <w:rsid w:val="5FCF9B4A"/>
    <w:rsid w:val="5FD20435"/>
    <w:rsid w:val="5FD2BC44"/>
    <w:rsid w:val="5FDA694A"/>
    <w:rsid w:val="6012FFBD"/>
    <w:rsid w:val="6013A746"/>
    <w:rsid w:val="60289B92"/>
    <w:rsid w:val="603BC7B4"/>
    <w:rsid w:val="60407B7C"/>
    <w:rsid w:val="60422DB9"/>
    <w:rsid w:val="604672F5"/>
    <w:rsid w:val="6046F3A6"/>
    <w:rsid w:val="60491856"/>
    <w:rsid w:val="60546DEB"/>
    <w:rsid w:val="60689C30"/>
    <w:rsid w:val="607CB94B"/>
    <w:rsid w:val="6086B1AD"/>
    <w:rsid w:val="608F6DA6"/>
    <w:rsid w:val="6090DB1D"/>
    <w:rsid w:val="60A3FB89"/>
    <w:rsid w:val="60A90918"/>
    <w:rsid w:val="60B5FDC8"/>
    <w:rsid w:val="60C72FD4"/>
    <w:rsid w:val="60C7E9CD"/>
    <w:rsid w:val="60CF1BBC"/>
    <w:rsid w:val="60D7A50F"/>
    <w:rsid w:val="60E0A625"/>
    <w:rsid w:val="60F08C0F"/>
    <w:rsid w:val="60F4DE58"/>
    <w:rsid w:val="60FF187B"/>
    <w:rsid w:val="610007B2"/>
    <w:rsid w:val="6101B04B"/>
    <w:rsid w:val="610371B4"/>
    <w:rsid w:val="6103F091"/>
    <w:rsid w:val="61158A3A"/>
    <w:rsid w:val="611F1267"/>
    <w:rsid w:val="61353359"/>
    <w:rsid w:val="613BDEDE"/>
    <w:rsid w:val="613C6304"/>
    <w:rsid w:val="6147F767"/>
    <w:rsid w:val="6157FC5C"/>
    <w:rsid w:val="61655224"/>
    <w:rsid w:val="61900D54"/>
    <w:rsid w:val="61A841C0"/>
    <w:rsid w:val="61AA986D"/>
    <w:rsid w:val="61B17780"/>
    <w:rsid w:val="61B1E4F9"/>
    <w:rsid w:val="61B2AE3D"/>
    <w:rsid w:val="61B49B9A"/>
    <w:rsid w:val="61B823E9"/>
    <w:rsid w:val="61B8BA46"/>
    <w:rsid w:val="61BE75E6"/>
    <w:rsid w:val="61C86512"/>
    <w:rsid w:val="61CD272F"/>
    <w:rsid w:val="61D31186"/>
    <w:rsid w:val="61D88900"/>
    <w:rsid w:val="61DD1499"/>
    <w:rsid w:val="61DF0E1E"/>
    <w:rsid w:val="61EEC507"/>
    <w:rsid w:val="61FA6E82"/>
    <w:rsid w:val="61FD5BEA"/>
    <w:rsid w:val="621C4AF7"/>
    <w:rsid w:val="621DD219"/>
    <w:rsid w:val="621FFC9E"/>
    <w:rsid w:val="62222F06"/>
    <w:rsid w:val="622A4ABB"/>
    <w:rsid w:val="622AD871"/>
    <w:rsid w:val="62306409"/>
    <w:rsid w:val="6238CC7F"/>
    <w:rsid w:val="623D3329"/>
    <w:rsid w:val="624130D5"/>
    <w:rsid w:val="6242D2CC"/>
    <w:rsid w:val="624BB849"/>
    <w:rsid w:val="625026AA"/>
    <w:rsid w:val="625231A0"/>
    <w:rsid w:val="628CE8C4"/>
    <w:rsid w:val="628D3BFE"/>
    <w:rsid w:val="62907086"/>
    <w:rsid w:val="62ABCC52"/>
    <w:rsid w:val="62BC30F6"/>
    <w:rsid w:val="62BEF75E"/>
    <w:rsid w:val="62C0C69B"/>
    <w:rsid w:val="62C20A0F"/>
    <w:rsid w:val="62C2C47E"/>
    <w:rsid w:val="62D2DADF"/>
    <w:rsid w:val="62D7D5B1"/>
    <w:rsid w:val="62DAB969"/>
    <w:rsid w:val="62E82371"/>
    <w:rsid w:val="62EB0ED2"/>
    <w:rsid w:val="62F732FE"/>
    <w:rsid w:val="62F921E4"/>
    <w:rsid w:val="62FF29C9"/>
    <w:rsid w:val="63057ADE"/>
    <w:rsid w:val="6309457F"/>
    <w:rsid w:val="6312219C"/>
    <w:rsid w:val="6316F269"/>
    <w:rsid w:val="631CF5CB"/>
    <w:rsid w:val="63288CFB"/>
    <w:rsid w:val="6334D735"/>
    <w:rsid w:val="6335820B"/>
    <w:rsid w:val="633708D9"/>
    <w:rsid w:val="63460533"/>
    <w:rsid w:val="635254D1"/>
    <w:rsid w:val="6363C1C0"/>
    <w:rsid w:val="636C4DD8"/>
    <w:rsid w:val="636F981C"/>
    <w:rsid w:val="637DAE48"/>
    <w:rsid w:val="63873541"/>
    <w:rsid w:val="6392C439"/>
    <w:rsid w:val="6393721E"/>
    <w:rsid w:val="63A395D1"/>
    <w:rsid w:val="63ADE6DB"/>
    <w:rsid w:val="63AFC861"/>
    <w:rsid w:val="63B0A6B7"/>
    <w:rsid w:val="63B5C5F3"/>
    <w:rsid w:val="63BAB4F9"/>
    <w:rsid w:val="63C24E6B"/>
    <w:rsid w:val="63C4E0EF"/>
    <w:rsid w:val="63CA316A"/>
    <w:rsid w:val="63DD0F9B"/>
    <w:rsid w:val="63EBFBD3"/>
    <w:rsid w:val="63F0BF83"/>
    <w:rsid w:val="63F6F315"/>
    <w:rsid w:val="63F749B9"/>
    <w:rsid w:val="63F81583"/>
    <w:rsid w:val="64059B4F"/>
    <w:rsid w:val="6408E86F"/>
    <w:rsid w:val="64164345"/>
    <w:rsid w:val="641F29B5"/>
    <w:rsid w:val="642BEEDF"/>
    <w:rsid w:val="642F0A0A"/>
    <w:rsid w:val="6448EA61"/>
    <w:rsid w:val="6451E3A4"/>
    <w:rsid w:val="645C7A15"/>
    <w:rsid w:val="645D7866"/>
    <w:rsid w:val="645F588E"/>
    <w:rsid w:val="64692C3E"/>
    <w:rsid w:val="647637F7"/>
    <w:rsid w:val="647AA068"/>
    <w:rsid w:val="648521E1"/>
    <w:rsid w:val="64889DD8"/>
    <w:rsid w:val="648AD01C"/>
    <w:rsid w:val="649BFB05"/>
    <w:rsid w:val="64A4AEF7"/>
    <w:rsid w:val="64A92156"/>
    <w:rsid w:val="64B7CA2B"/>
    <w:rsid w:val="64C32F26"/>
    <w:rsid w:val="64C7FB5C"/>
    <w:rsid w:val="64CCC536"/>
    <w:rsid w:val="64D753B7"/>
    <w:rsid w:val="64DE14E4"/>
    <w:rsid w:val="64DE2307"/>
    <w:rsid w:val="64E004D3"/>
    <w:rsid w:val="64E30967"/>
    <w:rsid w:val="64E666B1"/>
    <w:rsid w:val="64F2F302"/>
    <w:rsid w:val="64F4CF0E"/>
    <w:rsid w:val="64F9126E"/>
    <w:rsid w:val="64FAA397"/>
    <w:rsid w:val="65097002"/>
    <w:rsid w:val="650CE7D6"/>
    <w:rsid w:val="652A75C6"/>
    <w:rsid w:val="65373D83"/>
    <w:rsid w:val="6537DF4F"/>
    <w:rsid w:val="65478AA5"/>
    <w:rsid w:val="654F66DF"/>
    <w:rsid w:val="6555D14A"/>
    <w:rsid w:val="65634D74"/>
    <w:rsid w:val="656B78C9"/>
    <w:rsid w:val="65739FE1"/>
    <w:rsid w:val="65766014"/>
    <w:rsid w:val="65804209"/>
    <w:rsid w:val="659D9C92"/>
    <w:rsid w:val="659F2FBB"/>
    <w:rsid w:val="65AAE7D0"/>
    <w:rsid w:val="65B46C1D"/>
    <w:rsid w:val="65B62D9E"/>
    <w:rsid w:val="65D96BE0"/>
    <w:rsid w:val="65EF5407"/>
    <w:rsid w:val="6607116E"/>
    <w:rsid w:val="6609FBDB"/>
    <w:rsid w:val="660C4531"/>
    <w:rsid w:val="660C7C3C"/>
    <w:rsid w:val="660E556C"/>
    <w:rsid w:val="66262327"/>
    <w:rsid w:val="66273D93"/>
    <w:rsid w:val="662EFD0B"/>
    <w:rsid w:val="6632780F"/>
    <w:rsid w:val="664C123E"/>
    <w:rsid w:val="664D3EF2"/>
    <w:rsid w:val="66511583"/>
    <w:rsid w:val="66551C48"/>
    <w:rsid w:val="6659F148"/>
    <w:rsid w:val="666467D1"/>
    <w:rsid w:val="66758DD9"/>
    <w:rsid w:val="66839D91"/>
    <w:rsid w:val="668C79C6"/>
    <w:rsid w:val="668D8F54"/>
    <w:rsid w:val="668E69BB"/>
    <w:rsid w:val="66A329DF"/>
    <w:rsid w:val="66B82D58"/>
    <w:rsid w:val="66C045CF"/>
    <w:rsid w:val="66D75A73"/>
    <w:rsid w:val="66DF5396"/>
    <w:rsid w:val="66E8EF54"/>
    <w:rsid w:val="66E9D3BF"/>
    <w:rsid w:val="670035D9"/>
    <w:rsid w:val="670F2227"/>
    <w:rsid w:val="6710B779"/>
    <w:rsid w:val="6710C38B"/>
    <w:rsid w:val="6712D446"/>
    <w:rsid w:val="6713FC75"/>
    <w:rsid w:val="6714EF53"/>
    <w:rsid w:val="671525D3"/>
    <w:rsid w:val="672DC94C"/>
    <w:rsid w:val="67362D17"/>
    <w:rsid w:val="6738501D"/>
    <w:rsid w:val="67396721"/>
    <w:rsid w:val="673BBBE7"/>
    <w:rsid w:val="674E6671"/>
    <w:rsid w:val="675654B5"/>
    <w:rsid w:val="675BAF8D"/>
    <w:rsid w:val="6760E750"/>
    <w:rsid w:val="6778A48A"/>
    <w:rsid w:val="678DB8CA"/>
    <w:rsid w:val="6793483A"/>
    <w:rsid w:val="67935AB4"/>
    <w:rsid w:val="6796972A"/>
    <w:rsid w:val="67A42B5F"/>
    <w:rsid w:val="67AC7BF0"/>
    <w:rsid w:val="67BA6115"/>
    <w:rsid w:val="67BF3172"/>
    <w:rsid w:val="67C0AE25"/>
    <w:rsid w:val="67C2FC18"/>
    <w:rsid w:val="67C54A11"/>
    <w:rsid w:val="67D51F11"/>
    <w:rsid w:val="67DA934F"/>
    <w:rsid w:val="67DB019B"/>
    <w:rsid w:val="67E45BB4"/>
    <w:rsid w:val="67F336A8"/>
    <w:rsid w:val="67F47C04"/>
    <w:rsid w:val="67FA0831"/>
    <w:rsid w:val="67FF396C"/>
    <w:rsid w:val="68012958"/>
    <w:rsid w:val="681505AB"/>
    <w:rsid w:val="68194E8E"/>
    <w:rsid w:val="681F56F6"/>
    <w:rsid w:val="68219E05"/>
    <w:rsid w:val="68240471"/>
    <w:rsid w:val="682CD1E6"/>
    <w:rsid w:val="68406BE4"/>
    <w:rsid w:val="68473AFD"/>
    <w:rsid w:val="684B332A"/>
    <w:rsid w:val="684BCA10"/>
    <w:rsid w:val="6853F311"/>
    <w:rsid w:val="68589D74"/>
    <w:rsid w:val="685E5774"/>
    <w:rsid w:val="68632A1C"/>
    <w:rsid w:val="6864524D"/>
    <w:rsid w:val="68681E15"/>
    <w:rsid w:val="686AC72C"/>
    <w:rsid w:val="686AE4B2"/>
    <w:rsid w:val="6872A3F8"/>
    <w:rsid w:val="6876DD27"/>
    <w:rsid w:val="68794315"/>
    <w:rsid w:val="687BB767"/>
    <w:rsid w:val="6880053E"/>
    <w:rsid w:val="68821316"/>
    <w:rsid w:val="688C99D6"/>
    <w:rsid w:val="689085FF"/>
    <w:rsid w:val="689B3234"/>
    <w:rsid w:val="68A529B7"/>
    <w:rsid w:val="68B0E9BB"/>
    <w:rsid w:val="68C62E81"/>
    <w:rsid w:val="68CBA2C8"/>
    <w:rsid w:val="68D2904A"/>
    <w:rsid w:val="68DA5895"/>
    <w:rsid w:val="68DA6C66"/>
    <w:rsid w:val="68DE131E"/>
    <w:rsid w:val="68FC3462"/>
    <w:rsid w:val="68FF45B2"/>
    <w:rsid w:val="69000F8E"/>
    <w:rsid w:val="6901885C"/>
    <w:rsid w:val="6909F7E2"/>
    <w:rsid w:val="690A99CA"/>
    <w:rsid w:val="691BBC5D"/>
    <w:rsid w:val="693190CA"/>
    <w:rsid w:val="6940C65B"/>
    <w:rsid w:val="69439B19"/>
    <w:rsid w:val="6943BE49"/>
    <w:rsid w:val="6948420B"/>
    <w:rsid w:val="69489242"/>
    <w:rsid w:val="694C3015"/>
    <w:rsid w:val="69622C38"/>
    <w:rsid w:val="698993DF"/>
    <w:rsid w:val="6992F109"/>
    <w:rsid w:val="6995E751"/>
    <w:rsid w:val="699C94D1"/>
    <w:rsid w:val="699D8CB5"/>
    <w:rsid w:val="69A1A5DA"/>
    <w:rsid w:val="69A28E40"/>
    <w:rsid w:val="69AF6F17"/>
    <w:rsid w:val="69B9AE3D"/>
    <w:rsid w:val="69DE9EBA"/>
    <w:rsid w:val="69E139F1"/>
    <w:rsid w:val="69EAB875"/>
    <w:rsid w:val="69EACB99"/>
    <w:rsid w:val="69FAAC41"/>
    <w:rsid w:val="6A06CAE2"/>
    <w:rsid w:val="6A0D3A99"/>
    <w:rsid w:val="6A162889"/>
    <w:rsid w:val="6A2914DD"/>
    <w:rsid w:val="6A296F2C"/>
    <w:rsid w:val="6A3E8456"/>
    <w:rsid w:val="6A40283D"/>
    <w:rsid w:val="6A41E129"/>
    <w:rsid w:val="6A44727F"/>
    <w:rsid w:val="6A568930"/>
    <w:rsid w:val="6A604912"/>
    <w:rsid w:val="6A65D2A2"/>
    <w:rsid w:val="6A6F2682"/>
    <w:rsid w:val="6A72643A"/>
    <w:rsid w:val="6A7DB578"/>
    <w:rsid w:val="6A7FB258"/>
    <w:rsid w:val="6A8A1696"/>
    <w:rsid w:val="6A9188BB"/>
    <w:rsid w:val="6A935696"/>
    <w:rsid w:val="6AA18D2B"/>
    <w:rsid w:val="6AA39F0E"/>
    <w:rsid w:val="6AAC4AC0"/>
    <w:rsid w:val="6AADFFAB"/>
    <w:rsid w:val="6AB7A064"/>
    <w:rsid w:val="6AC49D6B"/>
    <w:rsid w:val="6ACA3DB0"/>
    <w:rsid w:val="6ACCA8F0"/>
    <w:rsid w:val="6ACFF2D1"/>
    <w:rsid w:val="6AD041CD"/>
    <w:rsid w:val="6ADE8758"/>
    <w:rsid w:val="6AE252A4"/>
    <w:rsid w:val="6AE2E86F"/>
    <w:rsid w:val="6AEADF2E"/>
    <w:rsid w:val="6AED4EF2"/>
    <w:rsid w:val="6AEE573D"/>
    <w:rsid w:val="6AF293F0"/>
    <w:rsid w:val="6AF3C677"/>
    <w:rsid w:val="6B09C0B4"/>
    <w:rsid w:val="6B377CC6"/>
    <w:rsid w:val="6B4C74F4"/>
    <w:rsid w:val="6B4E593D"/>
    <w:rsid w:val="6B4EBBF3"/>
    <w:rsid w:val="6B4FB06B"/>
    <w:rsid w:val="6B517C03"/>
    <w:rsid w:val="6B6B7DAF"/>
    <w:rsid w:val="6B73CEE8"/>
    <w:rsid w:val="6B79A740"/>
    <w:rsid w:val="6B7C276F"/>
    <w:rsid w:val="6B8B06C2"/>
    <w:rsid w:val="6B97B59F"/>
    <w:rsid w:val="6B9B1E6E"/>
    <w:rsid w:val="6B9B96ED"/>
    <w:rsid w:val="6BA830E0"/>
    <w:rsid w:val="6BB9B990"/>
    <w:rsid w:val="6BBA1FCC"/>
    <w:rsid w:val="6BC7788C"/>
    <w:rsid w:val="6BCE3C67"/>
    <w:rsid w:val="6BCF2204"/>
    <w:rsid w:val="6BCF2C74"/>
    <w:rsid w:val="6BD09AB7"/>
    <w:rsid w:val="6BD24642"/>
    <w:rsid w:val="6BF0AFAA"/>
    <w:rsid w:val="6BF23805"/>
    <w:rsid w:val="6BF23D79"/>
    <w:rsid w:val="6BF9EC30"/>
    <w:rsid w:val="6C01A2E5"/>
    <w:rsid w:val="6C0B6612"/>
    <w:rsid w:val="6C0CE485"/>
    <w:rsid w:val="6C0E121D"/>
    <w:rsid w:val="6C1AA714"/>
    <w:rsid w:val="6C2456E8"/>
    <w:rsid w:val="6C2F9064"/>
    <w:rsid w:val="6C361D70"/>
    <w:rsid w:val="6C37A12A"/>
    <w:rsid w:val="6C4096F4"/>
    <w:rsid w:val="6C4F2F21"/>
    <w:rsid w:val="6C51D29D"/>
    <w:rsid w:val="6C53F184"/>
    <w:rsid w:val="6C5669C9"/>
    <w:rsid w:val="6C5C38FF"/>
    <w:rsid w:val="6C6E236C"/>
    <w:rsid w:val="6C7320D3"/>
    <w:rsid w:val="6CA40A21"/>
    <w:rsid w:val="6CA4F0B9"/>
    <w:rsid w:val="6CA8D53E"/>
    <w:rsid w:val="6CAB2905"/>
    <w:rsid w:val="6CB0D086"/>
    <w:rsid w:val="6CC0823F"/>
    <w:rsid w:val="6CC27991"/>
    <w:rsid w:val="6CC94388"/>
    <w:rsid w:val="6CD83CC4"/>
    <w:rsid w:val="6CDE2C80"/>
    <w:rsid w:val="6CEE230B"/>
    <w:rsid w:val="6CF55362"/>
    <w:rsid w:val="6CF60388"/>
    <w:rsid w:val="6CFAFBC5"/>
    <w:rsid w:val="6D03F03C"/>
    <w:rsid w:val="6D1715CC"/>
    <w:rsid w:val="6D2962E6"/>
    <w:rsid w:val="6D3115E5"/>
    <w:rsid w:val="6D447CAE"/>
    <w:rsid w:val="6D4B013D"/>
    <w:rsid w:val="6D54CF67"/>
    <w:rsid w:val="6D57B99E"/>
    <w:rsid w:val="6D603AD6"/>
    <w:rsid w:val="6D683467"/>
    <w:rsid w:val="6D69FFA6"/>
    <w:rsid w:val="6D72A128"/>
    <w:rsid w:val="6D7CA820"/>
    <w:rsid w:val="6D925AA8"/>
    <w:rsid w:val="6D953EEF"/>
    <w:rsid w:val="6D9951AB"/>
    <w:rsid w:val="6DA6050B"/>
    <w:rsid w:val="6DB1FC46"/>
    <w:rsid w:val="6DB64050"/>
    <w:rsid w:val="6DBD70A0"/>
    <w:rsid w:val="6DBF5EBE"/>
    <w:rsid w:val="6DC2DBA5"/>
    <w:rsid w:val="6DDA2BA7"/>
    <w:rsid w:val="6DE2233D"/>
    <w:rsid w:val="6DE6E337"/>
    <w:rsid w:val="6DE6EFE8"/>
    <w:rsid w:val="6DEF5E64"/>
    <w:rsid w:val="6DFEA1E4"/>
    <w:rsid w:val="6E13FBB7"/>
    <w:rsid w:val="6E14326F"/>
    <w:rsid w:val="6E19165A"/>
    <w:rsid w:val="6E29A811"/>
    <w:rsid w:val="6E305889"/>
    <w:rsid w:val="6E3185B3"/>
    <w:rsid w:val="6E37C3AD"/>
    <w:rsid w:val="6E53231C"/>
    <w:rsid w:val="6E548439"/>
    <w:rsid w:val="6E55DEFA"/>
    <w:rsid w:val="6E5E6639"/>
    <w:rsid w:val="6E66465D"/>
    <w:rsid w:val="6E6B748A"/>
    <w:rsid w:val="6E7135E3"/>
    <w:rsid w:val="6E71C49A"/>
    <w:rsid w:val="6E8F06FC"/>
    <w:rsid w:val="6E93372A"/>
    <w:rsid w:val="6EA16B89"/>
    <w:rsid w:val="6EA2417F"/>
    <w:rsid w:val="6EA2BCFC"/>
    <w:rsid w:val="6EA3E112"/>
    <w:rsid w:val="6EACD65A"/>
    <w:rsid w:val="6EC7F2B4"/>
    <w:rsid w:val="6ECF0974"/>
    <w:rsid w:val="6ED49AF9"/>
    <w:rsid w:val="6EDAC949"/>
    <w:rsid w:val="6EE02B10"/>
    <w:rsid w:val="6EE191E0"/>
    <w:rsid w:val="6EE20A54"/>
    <w:rsid w:val="6EE44F89"/>
    <w:rsid w:val="6EECF163"/>
    <w:rsid w:val="6EF4D507"/>
    <w:rsid w:val="6F096276"/>
    <w:rsid w:val="6F19AA01"/>
    <w:rsid w:val="6F203E7A"/>
    <w:rsid w:val="6F2C24A3"/>
    <w:rsid w:val="6F36837F"/>
    <w:rsid w:val="6F371D50"/>
    <w:rsid w:val="6F39BD1A"/>
    <w:rsid w:val="6F3ACB2B"/>
    <w:rsid w:val="6F460F15"/>
    <w:rsid w:val="6F4A3482"/>
    <w:rsid w:val="6F4C8FC1"/>
    <w:rsid w:val="6F5DADB9"/>
    <w:rsid w:val="6F6EC7AE"/>
    <w:rsid w:val="6F708022"/>
    <w:rsid w:val="6F75A420"/>
    <w:rsid w:val="6F84AB43"/>
    <w:rsid w:val="6F8505F3"/>
    <w:rsid w:val="6F89FEF1"/>
    <w:rsid w:val="6FB1C763"/>
    <w:rsid w:val="6FB5D7A6"/>
    <w:rsid w:val="6FB76456"/>
    <w:rsid w:val="6FBE7B22"/>
    <w:rsid w:val="6FC31EEE"/>
    <w:rsid w:val="6FC4E397"/>
    <w:rsid w:val="6FC78530"/>
    <w:rsid w:val="6FD9A250"/>
    <w:rsid w:val="6FF8F0E7"/>
    <w:rsid w:val="70012298"/>
    <w:rsid w:val="7004CC6C"/>
    <w:rsid w:val="701EF727"/>
    <w:rsid w:val="7025A4D4"/>
    <w:rsid w:val="7034A6FD"/>
    <w:rsid w:val="7039C246"/>
    <w:rsid w:val="703ABCFF"/>
    <w:rsid w:val="703E46B4"/>
    <w:rsid w:val="70465FB8"/>
    <w:rsid w:val="70480DD7"/>
    <w:rsid w:val="705B4DEE"/>
    <w:rsid w:val="706CEDAA"/>
    <w:rsid w:val="7076365A"/>
    <w:rsid w:val="707958B6"/>
    <w:rsid w:val="707DD98C"/>
    <w:rsid w:val="707E6287"/>
    <w:rsid w:val="7088510E"/>
    <w:rsid w:val="709533B0"/>
    <w:rsid w:val="7096D08C"/>
    <w:rsid w:val="70973B26"/>
    <w:rsid w:val="70987630"/>
    <w:rsid w:val="7099E424"/>
    <w:rsid w:val="70B1B4CC"/>
    <w:rsid w:val="70BB0203"/>
    <w:rsid w:val="70BEF3BB"/>
    <w:rsid w:val="70BFC8DD"/>
    <w:rsid w:val="70D60A72"/>
    <w:rsid w:val="70F06F5A"/>
    <w:rsid w:val="70F5B51C"/>
    <w:rsid w:val="7100E878"/>
    <w:rsid w:val="7105C0C1"/>
    <w:rsid w:val="71229A0B"/>
    <w:rsid w:val="7135C392"/>
    <w:rsid w:val="7141FCCB"/>
    <w:rsid w:val="71487C1C"/>
    <w:rsid w:val="714D6E91"/>
    <w:rsid w:val="715421E4"/>
    <w:rsid w:val="715C1787"/>
    <w:rsid w:val="715DA118"/>
    <w:rsid w:val="7167801C"/>
    <w:rsid w:val="7171B191"/>
    <w:rsid w:val="7180E86C"/>
    <w:rsid w:val="7185FD80"/>
    <w:rsid w:val="7188D605"/>
    <w:rsid w:val="7188DDED"/>
    <w:rsid w:val="719B4D7B"/>
    <w:rsid w:val="719E2DBF"/>
    <w:rsid w:val="71A1ED00"/>
    <w:rsid w:val="71B3D6CF"/>
    <w:rsid w:val="71BA1799"/>
    <w:rsid w:val="71D0AF7A"/>
    <w:rsid w:val="71D1F815"/>
    <w:rsid w:val="71D27BFA"/>
    <w:rsid w:val="71D7CE65"/>
    <w:rsid w:val="71F02378"/>
    <w:rsid w:val="71F65E1F"/>
    <w:rsid w:val="71F8FF97"/>
    <w:rsid w:val="71FAAE91"/>
    <w:rsid w:val="72171DAE"/>
    <w:rsid w:val="72232BF3"/>
    <w:rsid w:val="7225CF35"/>
    <w:rsid w:val="7231408C"/>
    <w:rsid w:val="723ACBF2"/>
    <w:rsid w:val="72503D6C"/>
    <w:rsid w:val="72509DD1"/>
    <w:rsid w:val="7251EFE2"/>
    <w:rsid w:val="72599D25"/>
    <w:rsid w:val="725D34C7"/>
    <w:rsid w:val="725F8229"/>
    <w:rsid w:val="7264D626"/>
    <w:rsid w:val="726BDA0D"/>
    <w:rsid w:val="726E5170"/>
    <w:rsid w:val="7273B0A3"/>
    <w:rsid w:val="7286BC37"/>
    <w:rsid w:val="72877246"/>
    <w:rsid w:val="72885F00"/>
    <w:rsid w:val="728F4A19"/>
    <w:rsid w:val="7293774A"/>
    <w:rsid w:val="729C46CB"/>
    <w:rsid w:val="72A2FBAD"/>
    <w:rsid w:val="72B3D2B1"/>
    <w:rsid w:val="72BAB948"/>
    <w:rsid w:val="72BB311E"/>
    <w:rsid w:val="72BD7AA8"/>
    <w:rsid w:val="72C452B8"/>
    <w:rsid w:val="72C99ECC"/>
    <w:rsid w:val="72E3C775"/>
    <w:rsid w:val="72E3E01D"/>
    <w:rsid w:val="72E55FA1"/>
    <w:rsid w:val="72E5EB9C"/>
    <w:rsid w:val="72ED9B19"/>
    <w:rsid w:val="72F7E2C3"/>
    <w:rsid w:val="730BF3C6"/>
    <w:rsid w:val="73188510"/>
    <w:rsid w:val="731F3C7E"/>
    <w:rsid w:val="732D0C56"/>
    <w:rsid w:val="73334A9C"/>
    <w:rsid w:val="734FEAFC"/>
    <w:rsid w:val="7359EED8"/>
    <w:rsid w:val="735E6E4F"/>
    <w:rsid w:val="7370B775"/>
    <w:rsid w:val="737CDA7B"/>
    <w:rsid w:val="73A31171"/>
    <w:rsid w:val="73A5A508"/>
    <w:rsid w:val="73AF3A41"/>
    <w:rsid w:val="73CE5204"/>
    <w:rsid w:val="73D62D9E"/>
    <w:rsid w:val="73E8A591"/>
    <w:rsid w:val="73EEE4F2"/>
    <w:rsid w:val="73F29E41"/>
    <w:rsid w:val="73F38017"/>
    <w:rsid w:val="73F8EB52"/>
    <w:rsid w:val="73FBB322"/>
    <w:rsid w:val="74038302"/>
    <w:rsid w:val="740DA95C"/>
    <w:rsid w:val="740EBA02"/>
    <w:rsid w:val="7410F52E"/>
    <w:rsid w:val="741F59C7"/>
    <w:rsid w:val="742A19B1"/>
    <w:rsid w:val="742B5780"/>
    <w:rsid w:val="742B6DA0"/>
    <w:rsid w:val="74355A55"/>
    <w:rsid w:val="7438A6D0"/>
    <w:rsid w:val="743918D4"/>
    <w:rsid w:val="74502A96"/>
    <w:rsid w:val="7450A376"/>
    <w:rsid w:val="74607D16"/>
    <w:rsid w:val="746C2321"/>
    <w:rsid w:val="747D6158"/>
    <w:rsid w:val="7487BB60"/>
    <w:rsid w:val="7491D7F2"/>
    <w:rsid w:val="74921936"/>
    <w:rsid w:val="7495E207"/>
    <w:rsid w:val="74B09249"/>
    <w:rsid w:val="74B533F2"/>
    <w:rsid w:val="74B93CF7"/>
    <w:rsid w:val="74C79E28"/>
    <w:rsid w:val="74C8DC34"/>
    <w:rsid w:val="74CEDA49"/>
    <w:rsid w:val="74D97107"/>
    <w:rsid w:val="74DE4E05"/>
    <w:rsid w:val="74E1D8C2"/>
    <w:rsid w:val="74EC3214"/>
    <w:rsid w:val="74F8A242"/>
    <w:rsid w:val="74FC720A"/>
    <w:rsid w:val="750BD59C"/>
    <w:rsid w:val="751868B0"/>
    <w:rsid w:val="7519EF68"/>
    <w:rsid w:val="7523FA79"/>
    <w:rsid w:val="7526BDB4"/>
    <w:rsid w:val="75285397"/>
    <w:rsid w:val="752A86AA"/>
    <w:rsid w:val="752BFCEF"/>
    <w:rsid w:val="752CA8E6"/>
    <w:rsid w:val="752E61C9"/>
    <w:rsid w:val="7530DECC"/>
    <w:rsid w:val="75341114"/>
    <w:rsid w:val="753D5CE9"/>
    <w:rsid w:val="753E0E48"/>
    <w:rsid w:val="75419BA7"/>
    <w:rsid w:val="754C4BBA"/>
    <w:rsid w:val="75595E69"/>
    <w:rsid w:val="755D1D4C"/>
    <w:rsid w:val="755D9550"/>
    <w:rsid w:val="7565FD11"/>
    <w:rsid w:val="75676482"/>
    <w:rsid w:val="757DB6F1"/>
    <w:rsid w:val="75959A3A"/>
    <w:rsid w:val="7596D946"/>
    <w:rsid w:val="759742AE"/>
    <w:rsid w:val="7598772D"/>
    <w:rsid w:val="759E5E1A"/>
    <w:rsid w:val="75A1C549"/>
    <w:rsid w:val="75B913B8"/>
    <w:rsid w:val="75BF124A"/>
    <w:rsid w:val="75C30AAE"/>
    <w:rsid w:val="75D0D38C"/>
    <w:rsid w:val="75D2F30E"/>
    <w:rsid w:val="75D859CA"/>
    <w:rsid w:val="75DD5A94"/>
    <w:rsid w:val="75E027D2"/>
    <w:rsid w:val="75ECB5A0"/>
    <w:rsid w:val="75EEE154"/>
    <w:rsid w:val="761582ED"/>
    <w:rsid w:val="761D6873"/>
    <w:rsid w:val="7624F291"/>
    <w:rsid w:val="7625F173"/>
    <w:rsid w:val="76326DFC"/>
    <w:rsid w:val="763D443B"/>
    <w:rsid w:val="76402923"/>
    <w:rsid w:val="765443C8"/>
    <w:rsid w:val="7664259A"/>
    <w:rsid w:val="766E3560"/>
    <w:rsid w:val="767C387F"/>
    <w:rsid w:val="76835114"/>
    <w:rsid w:val="7684D4D5"/>
    <w:rsid w:val="76A19368"/>
    <w:rsid w:val="76A6ECB4"/>
    <w:rsid w:val="76AF7009"/>
    <w:rsid w:val="76B207FB"/>
    <w:rsid w:val="76C0B922"/>
    <w:rsid w:val="76C76534"/>
    <w:rsid w:val="76CAE425"/>
    <w:rsid w:val="76D7BBEE"/>
    <w:rsid w:val="76E1A645"/>
    <w:rsid w:val="76EA3D05"/>
    <w:rsid w:val="7701170C"/>
    <w:rsid w:val="770462F9"/>
    <w:rsid w:val="7712B53E"/>
    <w:rsid w:val="771D259C"/>
    <w:rsid w:val="77224D68"/>
    <w:rsid w:val="77278F5A"/>
    <w:rsid w:val="7727BF20"/>
    <w:rsid w:val="77330BA0"/>
    <w:rsid w:val="773533BF"/>
    <w:rsid w:val="773A90D9"/>
    <w:rsid w:val="773CF888"/>
    <w:rsid w:val="77434F22"/>
    <w:rsid w:val="7748EA40"/>
    <w:rsid w:val="774A1A37"/>
    <w:rsid w:val="774FB7C8"/>
    <w:rsid w:val="776AF96B"/>
    <w:rsid w:val="776C6058"/>
    <w:rsid w:val="77887287"/>
    <w:rsid w:val="7797F455"/>
    <w:rsid w:val="779837E6"/>
    <w:rsid w:val="77B0CB22"/>
    <w:rsid w:val="77B3C944"/>
    <w:rsid w:val="77C0E0CF"/>
    <w:rsid w:val="77C2DFE6"/>
    <w:rsid w:val="77D2E7CB"/>
    <w:rsid w:val="77D612BE"/>
    <w:rsid w:val="77E833B5"/>
    <w:rsid w:val="77EA56D4"/>
    <w:rsid w:val="77EC7CA7"/>
    <w:rsid w:val="77F13EBC"/>
    <w:rsid w:val="77F3308D"/>
    <w:rsid w:val="77F4C11F"/>
    <w:rsid w:val="77FD83EC"/>
    <w:rsid w:val="7804D16B"/>
    <w:rsid w:val="780C8B5F"/>
    <w:rsid w:val="780D1FAF"/>
    <w:rsid w:val="780D32A0"/>
    <w:rsid w:val="7815E0E7"/>
    <w:rsid w:val="78211048"/>
    <w:rsid w:val="78267611"/>
    <w:rsid w:val="78308324"/>
    <w:rsid w:val="78389E5A"/>
    <w:rsid w:val="7845EC02"/>
    <w:rsid w:val="784B78A6"/>
    <w:rsid w:val="7851302B"/>
    <w:rsid w:val="78531C57"/>
    <w:rsid w:val="7868599F"/>
    <w:rsid w:val="786AF0E2"/>
    <w:rsid w:val="786DF752"/>
    <w:rsid w:val="78737B86"/>
    <w:rsid w:val="787A5638"/>
    <w:rsid w:val="787A738E"/>
    <w:rsid w:val="78879EF9"/>
    <w:rsid w:val="788CEFE6"/>
    <w:rsid w:val="788EB168"/>
    <w:rsid w:val="78948F8B"/>
    <w:rsid w:val="78A3DBA0"/>
    <w:rsid w:val="78AC2B4F"/>
    <w:rsid w:val="78B08235"/>
    <w:rsid w:val="78CA5079"/>
    <w:rsid w:val="78CBDB44"/>
    <w:rsid w:val="78CC415B"/>
    <w:rsid w:val="78E5B285"/>
    <w:rsid w:val="78E84F2D"/>
    <w:rsid w:val="78EE69AE"/>
    <w:rsid w:val="78F795A4"/>
    <w:rsid w:val="79044998"/>
    <w:rsid w:val="7909149A"/>
    <w:rsid w:val="7924FCD2"/>
    <w:rsid w:val="793CEE16"/>
    <w:rsid w:val="79424128"/>
    <w:rsid w:val="79498A94"/>
    <w:rsid w:val="794DB2AE"/>
    <w:rsid w:val="795F9373"/>
    <w:rsid w:val="796842A2"/>
    <w:rsid w:val="797C70D2"/>
    <w:rsid w:val="7987618C"/>
    <w:rsid w:val="798C4E04"/>
    <w:rsid w:val="79A64D7D"/>
    <w:rsid w:val="79BE02C2"/>
    <w:rsid w:val="79C3028C"/>
    <w:rsid w:val="79DCBD54"/>
    <w:rsid w:val="79E72E13"/>
    <w:rsid w:val="7A14132A"/>
    <w:rsid w:val="7A19EEDF"/>
    <w:rsid w:val="7A1BA131"/>
    <w:rsid w:val="7A1D1D64"/>
    <w:rsid w:val="7A222628"/>
    <w:rsid w:val="7A34925B"/>
    <w:rsid w:val="7A3F77C4"/>
    <w:rsid w:val="7A4208A2"/>
    <w:rsid w:val="7A424D10"/>
    <w:rsid w:val="7A662838"/>
    <w:rsid w:val="7A67465B"/>
    <w:rsid w:val="7A67A344"/>
    <w:rsid w:val="7A7728C9"/>
    <w:rsid w:val="7A796A1B"/>
    <w:rsid w:val="7A7EB594"/>
    <w:rsid w:val="7A84CD98"/>
    <w:rsid w:val="7A95E82E"/>
    <w:rsid w:val="7A98B8DD"/>
    <w:rsid w:val="7A9A19CA"/>
    <w:rsid w:val="7AAE979F"/>
    <w:rsid w:val="7AAFED99"/>
    <w:rsid w:val="7AB2821E"/>
    <w:rsid w:val="7AC0FDD6"/>
    <w:rsid w:val="7AC8BBCB"/>
    <w:rsid w:val="7AE9F719"/>
    <w:rsid w:val="7AEF0D69"/>
    <w:rsid w:val="7AF4EBE2"/>
    <w:rsid w:val="7AFD3651"/>
    <w:rsid w:val="7B02B387"/>
    <w:rsid w:val="7B0E5CA3"/>
    <w:rsid w:val="7B236A0E"/>
    <w:rsid w:val="7B24C004"/>
    <w:rsid w:val="7B2B0C57"/>
    <w:rsid w:val="7B326B68"/>
    <w:rsid w:val="7B37C6E5"/>
    <w:rsid w:val="7B39E3EE"/>
    <w:rsid w:val="7B39FF2C"/>
    <w:rsid w:val="7B3EAABA"/>
    <w:rsid w:val="7B4EC936"/>
    <w:rsid w:val="7B5105D4"/>
    <w:rsid w:val="7B607F33"/>
    <w:rsid w:val="7B635DF6"/>
    <w:rsid w:val="7B640C9A"/>
    <w:rsid w:val="7B6A0BBF"/>
    <w:rsid w:val="7B72AA43"/>
    <w:rsid w:val="7B8097B1"/>
    <w:rsid w:val="7B8DC0E7"/>
    <w:rsid w:val="7B97D8A5"/>
    <w:rsid w:val="7B9CAE76"/>
    <w:rsid w:val="7BBCFAD7"/>
    <w:rsid w:val="7BBF8FFB"/>
    <w:rsid w:val="7BC2DF8A"/>
    <w:rsid w:val="7BC32445"/>
    <w:rsid w:val="7BC3705C"/>
    <w:rsid w:val="7BC4D73F"/>
    <w:rsid w:val="7BC58DBD"/>
    <w:rsid w:val="7BCC083B"/>
    <w:rsid w:val="7BD17E81"/>
    <w:rsid w:val="7BD2A23F"/>
    <w:rsid w:val="7BD78BAB"/>
    <w:rsid w:val="7BDF9438"/>
    <w:rsid w:val="7BE96FDE"/>
    <w:rsid w:val="7BEC82BC"/>
    <w:rsid w:val="7BF8FDBC"/>
    <w:rsid w:val="7BFC12F8"/>
    <w:rsid w:val="7C02A25E"/>
    <w:rsid w:val="7C02C93B"/>
    <w:rsid w:val="7C0570B7"/>
    <w:rsid w:val="7C089769"/>
    <w:rsid w:val="7C0BA085"/>
    <w:rsid w:val="7C12EFEF"/>
    <w:rsid w:val="7C134C22"/>
    <w:rsid w:val="7C1E8162"/>
    <w:rsid w:val="7C265F6C"/>
    <w:rsid w:val="7C281DFB"/>
    <w:rsid w:val="7C2CA2AA"/>
    <w:rsid w:val="7C318DBB"/>
    <w:rsid w:val="7C34ACD3"/>
    <w:rsid w:val="7C49F68B"/>
    <w:rsid w:val="7C572691"/>
    <w:rsid w:val="7C5B56B4"/>
    <w:rsid w:val="7C5F4145"/>
    <w:rsid w:val="7C622877"/>
    <w:rsid w:val="7C656F9A"/>
    <w:rsid w:val="7C70E254"/>
    <w:rsid w:val="7C71480B"/>
    <w:rsid w:val="7C76E8EB"/>
    <w:rsid w:val="7C902DC4"/>
    <w:rsid w:val="7C947564"/>
    <w:rsid w:val="7C990465"/>
    <w:rsid w:val="7C9F383B"/>
    <w:rsid w:val="7CA1F3F2"/>
    <w:rsid w:val="7CBFE1AE"/>
    <w:rsid w:val="7CC39B6D"/>
    <w:rsid w:val="7CC5F0E3"/>
    <w:rsid w:val="7CC721D6"/>
    <w:rsid w:val="7CC7D870"/>
    <w:rsid w:val="7CCE624B"/>
    <w:rsid w:val="7CD67785"/>
    <w:rsid w:val="7CDAA8CB"/>
    <w:rsid w:val="7CE3631D"/>
    <w:rsid w:val="7CFB5895"/>
    <w:rsid w:val="7CFFC977"/>
    <w:rsid w:val="7D0303A2"/>
    <w:rsid w:val="7D05EBBC"/>
    <w:rsid w:val="7D073507"/>
    <w:rsid w:val="7D0F08B7"/>
    <w:rsid w:val="7D1056E1"/>
    <w:rsid w:val="7D113106"/>
    <w:rsid w:val="7D182CCE"/>
    <w:rsid w:val="7D1D1316"/>
    <w:rsid w:val="7D1D8F15"/>
    <w:rsid w:val="7D23700C"/>
    <w:rsid w:val="7D28261A"/>
    <w:rsid w:val="7D34B84B"/>
    <w:rsid w:val="7D37D650"/>
    <w:rsid w:val="7D39D578"/>
    <w:rsid w:val="7D3E6427"/>
    <w:rsid w:val="7D3F6D89"/>
    <w:rsid w:val="7D49808A"/>
    <w:rsid w:val="7D58DAFB"/>
    <w:rsid w:val="7D6E9055"/>
    <w:rsid w:val="7D83D2F1"/>
    <w:rsid w:val="7D9C547D"/>
    <w:rsid w:val="7DA05177"/>
    <w:rsid w:val="7DA66209"/>
    <w:rsid w:val="7DAE4E80"/>
    <w:rsid w:val="7DAEA20B"/>
    <w:rsid w:val="7DBC965E"/>
    <w:rsid w:val="7DBFAC6D"/>
    <w:rsid w:val="7DC089F7"/>
    <w:rsid w:val="7DCDFE7E"/>
    <w:rsid w:val="7DD358B6"/>
    <w:rsid w:val="7DDA9E3F"/>
    <w:rsid w:val="7DDE59E6"/>
    <w:rsid w:val="7DE0D2DA"/>
    <w:rsid w:val="7DE44C75"/>
    <w:rsid w:val="7DF848B8"/>
    <w:rsid w:val="7DFC3A29"/>
    <w:rsid w:val="7E14A724"/>
    <w:rsid w:val="7E1B8C68"/>
    <w:rsid w:val="7E266039"/>
    <w:rsid w:val="7E2CDFD3"/>
    <w:rsid w:val="7E3654E4"/>
    <w:rsid w:val="7E381E23"/>
    <w:rsid w:val="7E3C1043"/>
    <w:rsid w:val="7E3F6913"/>
    <w:rsid w:val="7E45D785"/>
    <w:rsid w:val="7E4FF545"/>
    <w:rsid w:val="7E528CBA"/>
    <w:rsid w:val="7E58C619"/>
    <w:rsid w:val="7E5CD973"/>
    <w:rsid w:val="7E6096FF"/>
    <w:rsid w:val="7E6C359C"/>
    <w:rsid w:val="7E6C6EDD"/>
    <w:rsid w:val="7E7C6E62"/>
    <w:rsid w:val="7E7D0233"/>
    <w:rsid w:val="7E921EE2"/>
    <w:rsid w:val="7E92A3DB"/>
    <w:rsid w:val="7E9852C8"/>
    <w:rsid w:val="7EA500F7"/>
    <w:rsid w:val="7EA9181F"/>
    <w:rsid w:val="7EAA6214"/>
    <w:rsid w:val="7EC03C62"/>
    <w:rsid w:val="7EC4F4E0"/>
    <w:rsid w:val="7EC99872"/>
    <w:rsid w:val="7ED7FBED"/>
    <w:rsid w:val="7EDC9970"/>
    <w:rsid w:val="7EDF8AC0"/>
    <w:rsid w:val="7EE3A9D9"/>
    <w:rsid w:val="7EE414F7"/>
    <w:rsid w:val="7EE6888F"/>
    <w:rsid w:val="7EF48770"/>
    <w:rsid w:val="7EF96CF1"/>
    <w:rsid w:val="7F00F470"/>
    <w:rsid w:val="7F06C23B"/>
    <w:rsid w:val="7F1DA50F"/>
    <w:rsid w:val="7F228FBD"/>
    <w:rsid w:val="7F28E6ED"/>
    <w:rsid w:val="7F3044A1"/>
    <w:rsid w:val="7F36D9B8"/>
    <w:rsid w:val="7F4B2E38"/>
    <w:rsid w:val="7F60DBF2"/>
    <w:rsid w:val="7F6193A7"/>
    <w:rsid w:val="7F6E35E9"/>
    <w:rsid w:val="7F74D0C2"/>
    <w:rsid w:val="7F7603BE"/>
    <w:rsid w:val="7F7688DA"/>
    <w:rsid w:val="7F7E928D"/>
    <w:rsid w:val="7F7F5617"/>
    <w:rsid w:val="7F95CA55"/>
    <w:rsid w:val="7F99CBC7"/>
    <w:rsid w:val="7FA75FC4"/>
    <w:rsid w:val="7FAA10AF"/>
    <w:rsid w:val="7FAB7A9E"/>
    <w:rsid w:val="7FC1F5DD"/>
    <w:rsid w:val="7FD1453C"/>
    <w:rsid w:val="7FDFAEC0"/>
    <w:rsid w:val="7FE16619"/>
    <w:rsid w:val="7FE57E2B"/>
    <w:rsid w:val="7FF44B93"/>
    <w:rsid w:val="7FF8EFEB"/>
    <w:rsid w:val="7FF94EF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97613"/>
  <w15:chartTrackingRefBased/>
  <w15:docId w15:val="{9C2A0ADD-EED3-4776-A54D-42FAAFD8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30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30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30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30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30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30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30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30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30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30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30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30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30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30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30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30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30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3096"/>
    <w:rPr>
      <w:rFonts w:eastAsiaTheme="majorEastAsia" w:cstheme="majorBidi"/>
      <w:color w:val="272727" w:themeColor="text1" w:themeTint="D8"/>
    </w:rPr>
  </w:style>
  <w:style w:type="paragraph" w:styleId="Title">
    <w:name w:val="Title"/>
    <w:basedOn w:val="Normal"/>
    <w:next w:val="Normal"/>
    <w:link w:val="TitleChar"/>
    <w:uiPriority w:val="10"/>
    <w:qFormat/>
    <w:rsid w:val="00B330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30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30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30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3096"/>
    <w:pPr>
      <w:spacing w:before="160"/>
      <w:jc w:val="center"/>
    </w:pPr>
    <w:rPr>
      <w:i/>
      <w:iCs/>
      <w:color w:val="404040" w:themeColor="text1" w:themeTint="BF"/>
    </w:rPr>
  </w:style>
  <w:style w:type="character" w:customStyle="1" w:styleId="QuoteChar">
    <w:name w:val="Quote Char"/>
    <w:basedOn w:val="DefaultParagraphFont"/>
    <w:link w:val="Quote"/>
    <w:uiPriority w:val="29"/>
    <w:rsid w:val="00B33096"/>
    <w:rPr>
      <w:i/>
      <w:iCs/>
      <w:color w:val="404040" w:themeColor="text1" w:themeTint="BF"/>
    </w:rPr>
  </w:style>
  <w:style w:type="paragraph" w:styleId="ListParagraph">
    <w:name w:val="List Paragraph"/>
    <w:basedOn w:val="Normal"/>
    <w:uiPriority w:val="34"/>
    <w:qFormat/>
    <w:rsid w:val="00B33096"/>
    <w:pPr>
      <w:ind w:left="720"/>
      <w:contextualSpacing/>
    </w:pPr>
  </w:style>
  <w:style w:type="character" w:styleId="IntenseEmphasis">
    <w:name w:val="Intense Emphasis"/>
    <w:basedOn w:val="DefaultParagraphFont"/>
    <w:uiPriority w:val="21"/>
    <w:qFormat/>
    <w:rsid w:val="00B33096"/>
    <w:rPr>
      <w:i/>
      <w:iCs/>
      <w:color w:val="0F4761" w:themeColor="accent1" w:themeShade="BF"/>
    </w:rPr>
  </w:style>
  <w:style w:type="paragraph" w:styleId="IntenseQuote">
    <w:name w:val="Intense Quote"/>
    <w:basedOn w:val="Normal"/>
    <w:next w:val="Normal"/>
    <w:link w:val="IntenseQuoteChar"/>
    <w:uiPriority w:val="30"/>
    <w:qFormat/>
    <w:rsid w:val="00B330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3096"/>
    <w:rPr>
      <w:i/>
      <w:iCs/>
      <w:color w:val="0F4761" w:themeColor="accent1" w:themeShade="BF"/>
    </w:rPr>
  </w:style>
  <w:style w:type="character" w:styleId="IntenseReference">
    <w:name w:val="Intense Reference"/>
    <w:basedOn w:val="DefaultParagraphFont"/>
    <w:uiPriority w:val="32"/>
    <w:qFormat/>
    <w:rsid w:val="00B33096"/>
    <w:rPr>
      <w:b/>
      <w:bCs/>
      <w:smallCaps/>
      <w:color w:val="0F4761" w:themeColor="accent1" w:themeShade="BF"/>
      <w:spacing w:val="5"/>
    </w:rPr>
  </w:style>
  <w:style w:type="character" w:styleId="CommentReference">
    <w:name w:val="annotation reference"/>
    <w:basedOn w:val="DefaultParagraphFont"/>
    <w:uiPriority w:val="99"/>
    <w:semiHidden/>
    <w:unhideWhenUsed/>
    <w:rsid w:val="000F2B65"/>
    <w:rPr>
      <w:sz w:val="16"/>
      <w:szCs w:val="16"/>
    </w:rPr>
  </w:style>
  <w:style w:type="paragraph" w:styleId="CommentText">
    <w:name w:val="annotation text"/>
    <w:basedOn w:val="Normal"/>
    <w:link w:val="CommentTextChar"/>
    <w:uiPriority w:val="99"/>
    <w:unhideWhenUsed/>
    <w:rsid w:val="000F2B65"/>
    <w:pPr>
      <w:spacing w:line="240" w:lineRule="auto"/>
    </w:pPr>
    <w:rPr>
      <w:sz w:val="20"/>
      <w:szCs w:val="20"/>
    </w:rPr>
  </w:style>
  <w:style w:type="character" w:customStyle="1" w:styleId="CommentTextChar">
    <w:name w:val="Comment Text Char"/>
    <w:basedOn w:val="DefaultParagraphFont"/>
    <w:link w:val="CommentText"/>
    <w:uiPriority w:val="99"/>
    <w:rsid w:val="000F2B65"/>
    <w:rPr>
      <w:sz w:val="20"/>
      <w:szCs w:val="20"/>
    </w:rPr>
  </w:style>
  <w:style w:type="paragraph" w:styleId="CommentSubject">
    <w:name w:val="annotation subject"/>
    <w:basedOn w:val="CommentText"/>
    <w:next w:val="CommentText"/>
    <w:link w:val="CommentSubjectChar"/>
    <w:uiPriority w:val="99"/>
    <w:semiHidden/>
    <w:unhideWhenUsed/>
    <w:rsid w:val="000F2B65"/>
    <w:rPr>
      <w:b/>
      <w:bCs/>
    </w:rPr>
  </w:style>
  <w:style w:type="character" w:customStyle="1" w:styleId="CommentSubjectChar">
    <w:name w:val="Comment Subject Char"/>
    <w:basedOn w:val="CommentTextChar"/>
    <w:link w:val="CommentSubject"/>
    <w:uiPriority w:val="99"/>
    <w:semiHidden/>
    <w:rsid w:val="000F2B65"/>
    <w:rPr>
      <w:b/>
      <w:bCs/>
      <w:sz w:val="20"/>
      <w:szCs w:val="20"/>
    </w:rPr>
  </w:style>
  <w:style w:type="paragraph" w:styleId="HTMLPreformatted">
    <w:name w:val="HTML Preformatted"/>
    <w:basedOn w:val="Normal"/>
    <w:link w:val="HTMLPreformattedChar"/>
    <w:uiPriority w:val="99"/>
    <w:semiHidden/>
    <w:unhideWhenUsed/>
    <w:rsid w:val="00E960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14:ligatures w14:val="none"/>
    </w:rPr>
  </w:style>
  <w:style w:type="character" w:customStyle="1" w:styleId="HTMLPreformattedChar">
    <w:name w:val="HTML Preformatted Char"/>
    <w:basedOn w:val="DefaultParagraphFont"/>
    <w:link w:val="HTMLPreformatted"/>
    <w:uiPriority w:val="99"/>
    <w:semiHidden/>
    <w:rsid w:val="00E960BF"/>
    <w:rPr>
      <w:rFonts w:ascii="Courier New" w:eastAsia="Times New Roman" w:hAnsi="Courier New" w:cs="Courier New"/>
      <w:sz w:val="20"/>
      <w:szCs w:val="20"/>
      <w:lang w:eastAsia="en-GB"/>
      <w14:ligatures w14:val="none"/>
    </w:rPr>
  </w:style>
  <w:style w:type="character" w:customStyle="1" w:styleId="gnj4oy0cpi">
    <w:name w:val="gnj4oy0cpi"/>
    <w:basedOn w:val="DefaultParagraphFont"/>
    <w:rsid w:val="00E960BF"/>
  </w:style>
  <w:style w:type="table" w:styleId="TableGrid">
    <w:name w:val="Table Grid"/>
    <w:basedOn w:val="TableNormal"/>
    <w:uiPriority w:val="39"/>
    <w:rsid w:val="009D64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5">
    <w:name w:val="Light Grid Accent 5"/>
    <w:basedOn w:val="TableNormal"/>
    <w:uiPriority w:val="62"/>
    <w:rsid w:val="0058047C"/>
    <w:pPr>
      <w:spacing w:after="0" w:line="240" w:lineRule="auto"/>
    </w:pPr>
    <w:rPr>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character" w:styleId="Hyperlink">
    <w:name w:val="Hyperlink"/>
    <w:basedOn w:val="DefaultParagraphFont"/>
    <w:uiPriority w:val="99"/>
    <w:unhideWhenUsed/>
    <w:rsid w:val="00B2D36F"/>
    <w:rPr>
      <w:color w:val="467886"/>
      <w:u w:val="single"/>
    </w:rPr>
  </w:style>
  <w:style w:type="paragraph" w:styleId="Header">
    <w:name w:val="header"/>
    <w:basedOn w:val="Normal"/>
    <w:uiPriority w:val="99"/>
    <w:unhideWhenUsed/>
    <w:rsid w:val="00B2D36F"/>
    <w:pPr>
      <w:tabs>
        <w:tab w:val="center" w:pos="4680"/>
        <w:tab w:val="right" w:pos="9360"/>
      </w:tabs>
      <w:spacing w:after="0" w:line="240" w:lineRule="auto"/>
    </w:pPr>
  </w:style>
  <w:style w:type="paragraph" w:styleId="Footer">
    <w:name w:val="footer"/>
    <w:basedOn w:val="Normal"/>
    <w:link w:val="FooterChar"/>
    <w:uiPriority w:val="99"/>
    <w:unhideWhenUsed/>
    <w:rsid w:val="00E122F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122F6"/>
  </w:style>
  <w:style w:type="paragraph" w:styleId="TOC1">
    <w:name w:val="toc 1"/>
    <w:basedOn w:val="Normal"/>
    <w:next w:val="Normal"/>
    <w:uiPriority w:val="39"/>
    <w:unhideWhenUsed/>
    <w:rsid w:val="76C0B922"/>
    <w:pPr>
      <w:spacing w:after="100"/>
    </w:pPr>
  </w:style>
  <w:style w:type="paragraph" w:styleId="TOC2">
    <w:name w:val="toc 2"/>
    <w:basedOn w:val="Normal"/>
    <w:next w:val="Normal"/>
    <w:uiPriority w:val="39"/>
    <w:unhideWhenUsed/>
    <w:rsid w:val="76C0B922"/>
    <w:pPr>
      <w:spacing w:after="100"/>
      <w:ind w:left="220"/>
    </w:pPr>
  </w:style>
  <w:style w:type="paragraph" w:styleId="TOCHeading">
    <w:name w:val="TOC Heading"/>
    <w:basedOn w:val="Heading1"/>
    <w:next w:val="Normal"/>
    <w:uiPriority w:val="39"/>
    <w:unhideWhenUsed/>
    <w:qFormat/>
    <w:rsid w:val="009C1AE1"/>
    <w:pPr>
      <w:spacing w:before="240" w:after="0"/>
      <w:outlineLvl w:val="9"/>
    </w:pPr>
    <w:rPr>
      <w:sz w:val="32"/>
      <w:szCs w:val="32"/>
      <w:lang w:val="nl-NL" w:eastAsia="nl-NL"/>
      <w14:ligatures w14:val="none"/>
    </w:rPr>
  </w:style>
  <w:style w:type="character" w:styleId="FollowedHyperlink">
    <w:name w:val="FollowedHyperlink"/>
    <w:basedOn w:val="DefaultParagraphFont"/>
    <w:uiPriority w:val="99"/>
    <w:semiHidden/>
    <w:unhideWhenUsed/>
    <w:rsid w:val="0063498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hyperlink" Target="https://doi.org/10.1016/S0140-6736(10)61389-X" TargetMode="External"/><Relationship Id="rId50" Type="http://schemas.openxmlformats.org/officeDocument/2006/relationships/hyperlink" Target="https://doi.org/10.1186/1471-2288-11-139" TargetMode="External"/><Relationship Id="rId55" Type="http://schemas.openxmlformats.org/officeDocument/2006/relationships/hyperlink" Target="https://www.nice.org.uk/guidance/ta391/documents/committee-papers" TargetMode="External"/><Relationship Id="rId63"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yperlink" Target="https://www.cancerresearchuk.org/health-professional/cancer-statistics/statistics-by-cancer-type/prostate-cancer" TargetMode="External"/><Relationship Id="rId53" Type="http://schemas.openxmlformats.org/officeDocument/2006/relationships/hyperlink" Target="https://www.nice.org.uk/process/pmg9" TargetMode="External"/><Relationship Id="rId58" Type="http://schemas.openxmlformats.org/officeDocument/2006/relationships/hyperlink" Target="https://kar.kent.ac.uk/109563/" TargetMode="External"/><Relationship Id="rId5" Type="http://schemas.openxmlformats.org/officeDocument/2006/relationships/styles" Target="styles.xml"/><Relationship Id="rId61" Type="http://schemas.openxmlformats.org/officeDocument/2006/relationships/footer" Target="footer1.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yperlink" Target="https://doi.org/10.1093/annonc/mdt194" TargetMode="External"/><Relationship Id="rId48" Type="http://schemas.openxmlformats.org/officeDocument/2006/relationships/hyperlink" Target="https://www.gov.uk/government/publications/drugs-and-pharmaceutical-electronic-market-information-emit" TargetMode="External"/><Relationship Id="rId56" Type="http://schemas.openxmlformats.org/officeDocument/2006/relationships/hyperlink" Target="https://www.nice.org.uk/process/pmg36" TargetMode="External"/><Relationship Id="rId64" Type="http://schemas.microsoft.com/office/2020/10/relationships/intelligence" Target="intelligence2.xml"/><Relationship Id="rId8" Type="http://schemas.openxmlformats.org/officeDocument/2006/relationships/footnotes" Target="footnotes.xml"/><Relationship Id="rId51" Type="http://schemas.openxmlformats.org/officeDocument/2006/relationships/hyperlink" Target="https://doi.org/10.1016/S0140-6736(24)00651-2"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hyperlink" Target="https://doi.org/10.1016/j.eururo.2020.09.042" TargetMode="External"/><Relationship Id="rId59" Type="http://schemas.openxmlformats.org/officeDocument/2006/relationships/hyperlink" Target="https://doi.org/10.1016/j.lungcan.2017.09.014" TargetMode="Externa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hyperlink" Target="https://www.nice.org.uk/guidance/ta391"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yperlink" Target="https://doi.org/10.1093/oso/9780198529446.001.0001" TargetMode="External"/><Relationship Id="rId57" Type="http://schemas.openxmlformats.org/officeDocument/2006/relationships/hyperlink" Target="https://www.cheshireformulary.nhs.uk" TargetMode="Externa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hyperlink" Target="https://doi.org/10.1111/bju.13166" TargetMode="External"/><Relationship Id="rId52" Type="http://schemas.openxmlformats.org/officeDocument/2006/relationships/hyperlink" Target="https://www.nice.org.uk/guidance/ta259/documents/comments-on-the-appraisal-consultation-document-received-from-the-public-through-the-nice-website2" TargetMode="External"/><Relationship Id="rId6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C44AA4BF00D740BB1DC2A8D5EF7E9E" ma:contentTypeVersion="3" ma:contentTypeDescription="Create a new document." ma:contentTypeScope="" ma:versionID="3531dbdb6e9ed109383ccfe3143eebb4">
  <xsd:schema xmlns:xsd="http://www.w3.org/2001/XMLSchema" xmlns:xs="http://www.w3.org/2001/XMLSchema" xmlns:p="http://schemas.microsoft.com/office/2006/metadata/properties" xmlns:ns2="23ec3730-165d-4fa9-8708-cec733daab0d" targetNamespace="http://schemas.microsoft.com/office/2006/metadata/properties" ma:root="true" ma:fieldsID="9bb3ffbdeb1dbbbffb78c2e6fd59f4ea" ns2:_="">
    <xsd:import namespace="23ec3730-165d-4fa9-8708-cec733daab0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c3730-165d-4fa9-8708-cec733daa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1FFBDF-1979-40F1-8900-8D13EE2BDDDD}">
  <ds:schemaRefs>
    <ds:schemaRef ds:uri="http://schemas.microsoft.com/sharepoint/v3/contenttype/forms"/>
  </ds:schemaRefs>
</ds:datastoreItem>
</file>

<file path=customXml/itemProps2.xml><?xml version="1.0" encoding="utf-8"?>
<ds:datastoreItem xmlns:ds="http://schemas.openxmlformats.org/officeDocument/2006/customXml" ds:itemID="{3DA3BA5B-F5B3-4BD1-BA19-7E8E05EE9E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EC23D0-0C3B-48F6-A1E3-AF2CBC34B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c3730-165d-4fa9-8708-cec733daa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47</Pages>
  <Words>12890</Words>
  <Characters>70895</Characters>
  <Application>Microsoft Office Word</Application>
  <DocSecurity>0</DocSecurity>
  <Lines>590</Lines>
  <Paragraphs>167</Paragraphs>
  <ScaleCrop>false</ScaleCrop>
  <Company/>
  <LinksUpToDate>false</LinksUpToDate>
  <CharactersWithSpaces>83618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Sanya</dc:creator>
  <cp:keywords/>
  <dc:description/>
  <cp:lastModifiedBy>Anna</cp:lastModifiedBy>
  <cp:revision>18</cp:revision>
  <dcterms:created xsi:type="dcterms:W3CDTF">2026-03-26T21:22:00Z</dcterms:created>
  <dcterms:modified xsi:type="dcterms:W3CDTF">2026-03-26T21:36:00Z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0x010100D9C44AA4BF00D740BB1DC2A8D5EF7E9E</vt:lpwstr>
  </property>
</Properties>
</file>